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3F" w:rsidRDefault="0029397A" w:rsidP="00BD2296">
      <w:pPr>
        <w:tabs>
          <w:tab w:val="left" w:pos="8520"/>
        </w:tabs>
        <w:spacing w:after="240" w:line="312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BD2296">
        <w:rPr>
          <w:rFonts w:asciiTheme="majorHAnsi" w:hAnsiTheme="majorHAnsi"/>
          <w:b/>
          <w:sz w:val="28"/>
          <w:szCs w:val="28"/>
        </w:rPr>
        <w:t>Briefing on i</w:t>
      </w:r>
      <w:r w:rsidR="00CB784D" w:rsidRPr="00BD2296">
        <w:rPr>
          <w:rFonts w:asciiTheme="majorHAnsi" w:hAnsiTheme="majorHAnsi"/>
          <w:b/>
          <w:sz w:val="28"/>
          <w:szCs w:val="28"/>
        </w:rPr>
        <w:t>nvestor-</w:t>
      </w:r>
      <w:r w:rsidR="00611B63" w:rsidRPr="00BD2296">
        <w:rPr>
          <w:rFonts w:asciiTheme="majorHAnsi" w:hAnsiTheme="majorHAnsi"/>
          <w:b/>
          <w:sz w:val="28"/>
          <w:szCs w:val="28"/>
        </w:rPr>
        <w:t xml:space="preserve">state dispute </w:t>
      </w:r>
      <w:r w:rsidR="00212355" w:rsidRPr="00BD2296">
        <w:rPr>
          <w:rFonts w:asciiTheme="majorHAnsi" w:hAnsiTheme="majorHAnsi"/>
          <w:b/>
          <w:sz w:val="28"/>
          <w:szCs w:val="28"/>
        </w:rPr>
        <w:t>settlement</w:t>
      </w:r>
      <w:r w:rsidR="00611B63" w:rsidRPr="00BD2296">
        <w:rPr>
          <w:rFonts w:asciiTheme="majorHAnsi" w:hAnsiTheme="majorHAnsi"/>
          <w:b/>
          <w:sz w:val="28"/>
          <w:szCs w:val="28"/>
        </w:rPr>
        <w:t xml:space="preserve"> mechanisms</w:t>
      </w:r>
      <w:r w:rsidRPr="00BD2296">
        <w:rPr>
          <w:rFonts w:asciiTheme="majorHAnsi" w:hAnsiTheme="majorHAnsi"/>
          <w:b/>
          <w:sz w:val="28"/>
          <w:szCs w:val="28"/>
        </w:rPr>
        <w:t xml:space="preserve"> in international investment agreements</w:t>
      </w:r>
    </w:p>
    <w:p w:rsidR="00BD2296" w:rsidRPr="0080343B" w:rsidRDefault="00BD2296" w:rsidP="00BD2296">
      <w:pPr>
        <w:tabs>
          <w:tab w:val="left" w:pos="8520"/>
        </w:tabs>
        <w:spacing w:after="240" w:line="312" w:lineRule="auto"/>
        <w:jc w:val="center"/>
        <w:rPr>
          <w:rFonts w:asciiTheme="majorHAnsi" w:hAnsiTheme="majorHAnsi"/>
          <w:b/>
        </w:rPr>
      </w:pPr>
    </w:p>
    <w:p w:rsidR="00AD0483" w:rsidRDefault="00AD0483" w:rsidP="00AD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20"/>
        </w:tabs>
        <w:spacing w:after="0" w:line="120" w:lineRule="auto"/>
        <w:rPr>
          <w:rFonts w:asciiTheme="majorHAnsi" w:hAnsiTheme="majorHAnsi"/>
          <w:b/>
          <w:sz w:val="24"/>
          <w:szCs w:val="24"/>
        </w:rPr>
      </w:pPr>
    </w:p>
    <w:p w:rsidR="00CB784D" w:rsidRPr="00AD0483" w:rsidRDefault="00CB784D" w:rsidP="00AD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20"/>
        </w:tabs>
        <w:spacing w:after="120" w:line="312" w:lineRule="auto"/>
        <w:rPr>
          <w:rFonts w:asciiTheme="majorHAnsi" w:hAnsiTheme="majorHAnsi"/>
          <w:sz w:val="24"/>
          <w:szCs w:val="24"/>
        </w:rPr>
      </w:pPr>
      <w:r w:rsidRPr="00AD0483">
        <w:rPr>
          <w:rFonts w:asciiTheme="majorHAnsi" w:hAnsiTheme="majorHAnsi"/>
          <w:b/>
          <w:sz w:val="24"/>
          <w:szCs w:val="24"/>
        </w:rPr>
        <w:t>Background</w:t>
      </w:r>
      <w:r w:rsidRPr="00AD0483">
        <w:rPr>
          <w:rFonts w:asciiTheme="majorHAnsi" w:hAnsiTheme="majorHAnsi"/>
          <w:sz w:val="24"/>
          <w:szCs w:val="24"/>
        </w:rPr>
        <w:t xml:space="preserve"> </w:t>
      </w:r>
    </w:p>
    <w:p w:rsidR="001931CC" w:rsidRPr="0080343B" w:rsidRDefault="005D1BC4" w:rsidP="00AD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20"/>
        </w:tabs>
        <w:spacing w:after="160" w:line="312" w:lineRule="auto"/>
        <w:rPr>
          <w:rFonts w:asciiTheme="majorHAnsi" w:hAnsiTheme="majorHAnsi"/>
        </w:rPr>
      </w:pPr>
      <w:r w:rsidRPr="0080343B">
        <w:rPr>
          <w:rFonts w:asciiTheme="majorHAnsi" w:hAnsiTheme="majorHAnsi"/>
        </w:rPr>
        <w:t>I</w:t>
      </w:r>
      <w:r w:rsidR="00CB784D" w:rsidRPr="0080343B">
        <w:rPr>
          <w:rFonts w:asciiTheme="majorHAnsi" w:hAnsiTheme="majorHAnsi"/>
        </w:rPr>
        <w:t>nvestor-</w:t>
      </w:r>
      <w:r w:rsidR="00144380" w:rsidRPr="0080343B">
        <w:rPr>
          <w:rFonts w:asciiTheme="majorHAnsi" w:hAnsiTheme="majorHAnsi"/>
        </w:rPr>
        <w:t>state dispute s</w:t>
      </w:r>
      <w:r w:rsidR="00CB784D" w:rsidRPr="0080343B">
        <w:rPr>
          <w:rFonts w:asciiTheme="majorHAnsi" w:hAnsiTheme="majorHAnsi"/>
        </w:rPr>
        <w:t>ettlement (</w:t>
      </w:r>
      <w:r w:rsidR="0029397A" w:rsidRPr="0080343B">
        <w:rPr>
          <w:rFonts w:asciiTheme="majorHAnsi" w:hAnsiTheme="majorHAnsi"/>
        </w:rPr>
        <w:t>“</w:t>
      </w:r>
      <w:r w:rsidR="00CB784D" w:rsidRPr="0080343B">
        <w:rPr>
          <w:rFonts w:asciiTheme="majorHAnsi" w:hAnsiTheme="majorHAnsi"/>
        </w:rPr>
        <w:t>ISDS</w:t>
      </w:r>
      <w:r w:rsidR="0029397A" w:rsidRPr="0080343B">
        <w:rPr>
          <w:rFonts w:asciiTheme="majorHAnsi" w:hAnsiTheme="majorHAnsi"/>
        </w:rPr>
        <w:t>”</w:t>
      </w:r>
      <w:r w:rsidR="00CB784D" w:rsidRPr="0080343B">
        <w:rPr>
          <w:rFonts w:asciiTheme="majorHAnsi" w:hAnsiTheme="majorHAnsi"/>
        </w:rPr>
        <w:t>)</w:t>
      </w:r>
      <w:r w:rsidRPr="0080343B">
        <w:rPr>
          <w:rFonts w:asciiTheme="majorHAnsi" w:hAnsiTheme="majorHAnsi"/>
        </w:rPr>
        <w:t xml:space="preserve"> is a mechanism under which an inv</w:t>
      </w:r>
      <w:r w:rsidR="0029397A" w:rsidRPr="0080343B">
        <w:rPr>
          <w:rFonts w:asciiTheme="majorHAnsi" w:hAnsiTheme="majorHAnsi"/>
        </w:rPr>
        <w:t xml:space="preserve">estor and state can solve </w:t>
      </w:r>
      <w:r w:rsidRPr="0080343B">
        <w:rPr>
          <w:rFonts w:asciiTheme="majorHAnsi" w:hAnsiTheme="majorHAnsi"/>
        </w:rPr>
        <w:t xml:space="preserve">disputes through international arbitration. The system allows an investor to bring a claim against an authority in front of an international tribunal where </w:t>
      </w:r>
      <w:r w:rsidR="0029397A" w:rsidRPr="0080343B">
        <w:rPr>
          <w:rFonts w:asciiTheme="majorHAnsi" w:hAnsiTheme="majorHAnsi"/>
        </w:rPr>
        <w:t xml:space="preserve">it is alleged that </w:t>
      </w:r>
      <w:r w:rsidRPr="0080343B">
        <w:rPr>
          <w:rFonts w:asciiTheme="majorHAnsi" w:hAnsiTheme="majorHAnsi"/>
        </w:rPr>
        <w:t>one of the</w:t>
      </w:r>
      <w:r w:rsidR="0029397A" w:rsidRPr="0080343B">
        <w:rPr>
          <w:rFonts w:asciiTheme="majorHAnsi" w:hAnsiTheme="majorHAnsi"/>
        </w:rPr>
        <w:t xml:space="preserve"> core</w:t>
      </w:r>
      <w:r w:rsidRPr="0080343B">
        <w:rPr>
          <w:rFonts w:asciiTheme="majorHAnsi" w:hAnsiTheme="majorHAnsi"/>
        </w:rPr>
        <w:t xml:space="preserve"> provisions of </w:t>
      </w:r>
      <w:r w:rsidR="00065594" w:rsidRPr="0080343B">
        <w:rPr>
          <w:rFonts w:asciiTheme="majorHAnsi" w:hAnsiTheme="majorHAnsi"/>
        </w:rPr>
        <w:t>an international investment agreement</w:t>
      </w:r>
      <w:r w:rsidRPr="0080343B">
        <w:rPr>
          <w:rFonts w:asciiTheme="majorHAnsi" w:hAnsiTheme="majorHAnsi"/>
        </w:rPr>
        <w:t xml:space="preserve"> has been breached.</w:t>
      </w:r>
    </w:p>
    <w:p w:rsidR="00DD28D8" w:rsidRPr="0080343B" w:rsidRDefault="0029397A" w:rsidP="00AD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20"/>
        </w:tabs>
        <w:spacing w:after="160" w:line="312" w:lineRule="auto"/>
        <w:rPr>
          <w:rFonts w:asciiTheme="majorHAnsi" w:hAnsiTheme="majorHAnsi" w:cs="Arial"/>
        </w:rPr>
      </w:pPr>
      <w:r w:rsidRPr="0080343B">
        <w:rPr>
          <w:rFonts w:asciiTheme="majorHAnsi" w:hAnsiTheme="majorHAnsi"/>
        </w:rPr>
        <w:t>ISDS</w:t>
      </w:r>
      <w:r w:rsidR="00747586" w:rsidRPr="0080343B">
        <w:rPr>
          <w:rFonts w:asciiTheme="majorHAnsi" w:hAnsiTheme="majorHAnsi"/>
        </w:rPr>
        <w:t xml:space="preserve"> is found </w:t>
      </w:r>
      <w:r w:rsidR="00943B94" w:rsidRPr="0080343B">
        <w:rPr>
          <w:rFonts w:asciiTheme="majorHAnsi" w:hAnsiTheme="majorHAnsi"/>
        </w:rPr>
        <w:t xml:space="preserve">worldwide </w:t>
      </w:r>
      <w:r w:rsidR="00747586" w:rsidRPr="0080343B">
        <w:rPr>
          <w:rFonts w:asciiTheme="majorHAnsi" w:hAnsiTheme="majorHAnsi"/>
        </w:rPr>
        <w:t>in more than 2700 international agreements</w:t>
      </w:r>
      <w:r w:rsidR="00DD28D8" w:rsidRPr="0080343B">
        <w:rPr>
          <w:rFonts w:asciiTheme="majorHAnsi" w:hAnsiTheme="majorHAnsi"/>
        </w:rPr>
        <w:t xml:space="preserve">. </w:t>
      </w:r>
      <w:r w:rsidRPr="0080343B">
        <w:rPr>
          <w:rFonts w:asciiTheme="majorHAnsi" w:hAnsiTheme="majorHAnsi" w:cs="Arial"/>
        </w:rPr>
        <w:t>These agreements have been rec</w:t>
      </w:r>
      <w:r w:rsidR="00BD2296" w:rsidRPr="0080343B">
        <w:rPr>
          <w:rFonts w:asciiTheme="majorHAnsi" w:hAnsiTheme="majorHAnsi" w:cs="Arial"/>
        </w:rPr>
        <w:t xml:space="preserve">ognised by the UN as a key factor in helping </w:t>
      </w:r>
      <w:r w:rsidRPr="0080343B">
        <w:rPr>
          <w:rFonts w:asciiTheme="majorHAnsi" w:hAnsiTheme="majorHAnsi" w:cs="Arial"/>
        </w:rPr>
        <w:t xml:space="preserve">countries </w:t>
      </w:r>
      <w:r w:rsidR="000E196F" w:rsidRPr="0080343B">
        <w:rPr>
          <w:rFonts w:asciiTheme="majorHAnsi" w:hAnsiTheme="majorHAnsi" w:cs="Arial"/>
        </w:rPr>
        <w:t>attract foreign direct investment (“FDI”)</w:t>
      </w:r>
      <w:r w:rsidRPr="0080343B">
        <w:rPr>
          <w:rFonts w:asciiTheme="majorHAnsi" w:hAnsiTheme="majorHAnsi" w:cs="Arial"/>
        </w:rPr>
        <w:t>,</w:t>
      </w:r>
      <w:r w:rsidR="00DD28D8" w:rsidRPr="0080343B">
        <w:rPr>
          <w:rFonts w:asciiTheme="majorHAnsi" w:hAnsiTheme="majorHAnsi" w:cs="Arial"/>
        </w:rPr>
        <w:t xml:space="preserve"> as well as to </w:t>
      </w:r>
      <w:r w:rsidRPr="0080343B">
        <w:rPr>
          <w:rFonts w:asciiTheme="majorHAnsi" w:hAnsiTheme="majorHAnsi" w:cs="Arial"/>
        </w:rPr>
        <w:t xml:space="preserve">enabling them to </w:t>
      </w:r>
      <w:r w:rsidR="00DD28D8" w:rsidRPr="0080343B">
        <w:rPr>
          <w:rFonts w:asciiTheme="majorHAnsi" w:hAnsiTheme="majorHAnsi" w:cs="Arial"/>
        </w:rPr>
        <w:t>protect their outw</w:t>
      </w:r>
      <w:r w:rsidRPr="0080343B">
        <w:rPr>
          <w:rFonts w:asciiTheme="majorHAnsi" w:hAnsiTheme="majorHAnsi" w:cs="Arial"/>
        </w:rPr>
        <w:t>ard investments. The inclusion of ISDS provision</w:t>
      </w:r>
      <w:r w:rsidR="00BD2296" w:rsidRPr="0080343B">
        <w:rPr>
          <w:rFonts w:asciiTheme="majorHAnsi" w:hAnsiTheme="majorHAnsi" w:cs="Arial"/>
        </w:rPr>
        <w:t>s in these agreements neither new nor</w:t>
      </w:r>
      <w:r w:rsidRPr="0080343B">
        <w:rPr>
          <w:rFonts w:asciiTheme="majorHAnsi" w:hAnsiTheme="majorHAnsi" w:cs="Arial"/>
        </w:rPr>
        <w:t xml:space="preserve"> novel: in fact, they have</w:t>
      </w:r>
      <w:r w:rsidR="00DD28D8" w:rsidRPr="0080343B">
        <w:rPr>
          <w:rFonts w:asciiTheme="majorHAnsi" w:hAnsiTheme="majorHAnsi" w:cs="Arial"/>
        </w:rPr>
        <w:t xml:space="preserve"> been part and parcel of the internatio</w:t>
      </w:r>
      <w:r w:rsidR="00791A3C" w:rsidRPr="0080343B">
        <w:rPr>
          <w:rFonts w:asciiTheme="majorHAnsi" w:hAnsiTheme="majorHAnsi" w:cs="Arial"/>
        </w:rPr>
        <w:t>nal investment system since the 1950s</w:t>
      </w:r>
      <w:r w:rsidR="00DD28D8" w:rsidRPr="0080343B">
        <w:rPr>
          <w:rFonts w:asciiTheme="majorHAnsi" w:hAnsiTheme="majorHAnsi" w:cs="Arial"/>
        </w:rPr>
        <w:t xml:space="preserve">.  </w:t>
      </w:r>
    </w:p>
    <w:p w:rsidR="00A968B1" w:rsidRPr="0080343B" w:rsidRDefault="0029397A" w:rsidP="00AD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20"/>
        </w:tabs>
        <w:spacing w:after="160" w:line="312" w:lineRule="auto"/>
        <w:rPr>
          <w:rFonts w:asciiTheme="majorHAnsi" w:hAnsiTheme="majorHAnsi"/>
        </w:rPr>
      </w:pPr>
      <w:r w:rsidRPr="0080343B">
        <w:rPr>
          <w:rFonts w:asciiTheme="majorHAnsi" w:hAnsiTheme="majorHAnsi"/>
        </w:rPr>
        <w:t>The role of ISDS has</w:t>
      </w:r>
      <w:r w:rsidR="000E196F" w:rsidRPr="0080343B">
        <w:rPr>
          <w:rFonts w:asciiTheme="majorHAnsi" w:hAnsiTheme="majorHAnsi"/>
        </w:rPr>
        <w:t xml:space="preserve"> come under intense scrutiny in recent months—particularly in the context of the proposed Transatlantic Tra</w:t>
      </w:r>
      <w:r w:rsidR="009015F7" w:rsidRPr="0080343B">
        <w:rPr>
          <w:rFonts w:asciiTheme="majorHAnsi" w:hAnsiTheme="majorHAnsi"/>
        </w:rPr>
        <w:t xml:space="preserve">de and Investment Partnership. </w:t>
      </w:r>
      <w:r w:rsidR="000E196F" w:rsidRPr="0080343B">
        <w:rPr>
          <w:rFonts w:asciiTheme="majorHAnsi" w:hAnsiTheme="majorHAnsi"/>
        </w:rPr>
        <w:t>S</w:t>
      </w:r>
      <w:r w:rsidR="000A7FD3" w:rsidRPr="0080343B">
        <w:rPr>
          <w:rFonts w:asciiTheme="majorHAnsi" w:hAnsiTheme="majorHAnsi"/>
        </w:rPr>
        <w:t>ome c</w:t>
      </w:r>
      <w:r w:rsidR="00A968B1" w:rsidRPr="0080343B">
        <w:rPr>
          <w:rFonts w:asciiTheme="majorHAnsi" w:hAnsiTheme="majorHAnsi"/>
        </w:rPr>
        <w:t>ritics</w:t>
      </w:r>
      <w:r w:rsidR="000A7FD3" w:rsidRPr="0080343B">
        <w:rPr>
          <w:rFonts w:asciiTheme="majorHAnsi" w:hAnsiTheme="majorHAnsi"/>
        </w:rPr>
        <w:t xml:space="preserve"> of investment agreements</w:t>
      </w:r>
      <w:r w:rsidR="001931CC" w:rsidRPr="0080343B">
        <w:rPr>
          <w:rFonts w:asciiTheme="majorHAnsi" w:hAnsiTheme="majorHAnsi"/>
        </w:rPr>
        <w:t xml:space="preserve"> </w:t>
      </w:r>
      <w:r w:rsidR="000A7FD3" w:rsidRPr="0080343B">
        <w:rPr>
          <w:rFonts w:asciiTheme="majorHAnsi" w:hAnsiTheme="majorHAnsi"/>
        </w:rPr>
        <w:t xml:space="preserve">have </w:t>
      </w:r>
      <w:r w:rsidR="00A968B1" w:rsidRPr="0080343B">
        <w:rPr>
          <w:rFonts w:asciiTheme="majorHAnsi" w:hAnsiTheme="majorHAnsi"/>
        </w:rPr>
        <w:t>argue</w:t>
      </w:r>
      <w:r w:rsidR="000A7FD3" w:rsidRPr="0080343B">
        <w:rPr>
          <w:rFonts w:asciiTheme="majorHAnsi" w:hAnsiTheme="majorHAnsi"/>
        </w:rPr>
        <w:t>d</w:t>
      </w:r>
      <w:r w:rsidR="00A968B1" w:rsidRPr="0080343B">
        <w:rPr>
          <w:rFonts w:asciiTheme="majorHAnsi" w:hAnsiTheme="majorHAnsi"/>
        </w:rPr>
        <w:t xml:space="preserve"> that </w:t>
      </w:r>
      <w:r w:rsidR="000A7FD3" w:rsidRPr="0080343B">
        <w:rPr>
          <w:rFonts w:asciiTheme="majorHAnsi" w:hAnsiTheme="majorHAnsi"/>
        </w:rPr>
        <w:t>ISDS</w:t>
      </w:r>
      <w:r w:rsidR="00A968B1" w:rsidRPr="0080343B">
        <w:rPr>
          <w:rFonts w:asciiTheme="majorHAnsi" w:hAnsiTheme="majorHAnsi"/>
        </w:rPr>
        <w:t xml:space="preserve"> provisions give companies </w:t>
      </w:r>
      <w:r w:rsidR="000A7FD3" w:rsidRPr="0080343B">
        <w:rPr>
          <w:rFonts w:asciiTheme="majorHAnsi" w:hAnsiTheme="majorHAnsi"/>
        </w:rPr>
        <w:t>free reign</w:t>
      </w:r>
      <w:r w:rsidR="00A968B1" w:rsidRPr="0080343B">
        <w:rPr>
          <w:rFonts w:asciiTheme="majorHAnsi" w:hAnsiTheme="majorHAnsi"/>
        </w:rPr>
        <w:t xml:space="preserve"> to use trade deals and </w:t>
      </w:r>
      <w:r w:rsidRPr="0080343B">
        <w:rPr>
          <w:rFonts w:asciiTheme="majorHAnsi" w:hAnsiTheme="majorHAnsi"/>
        </w:rPr>
        <w:t>“</w:t>
      </w:r>
      <w:r w:rsidR="00A968B1" w:rsidRPr="0080343B">
        <w:rPr>
          <w:rFonts w:asciiTheme="majorHAnsi" w:hAnsiTheme="majorHAnsi"/>
        </w:rPr>
        <w:t>secretive</w:t>
      </w:r>
      <w:r w:rsidRPr="0080343B">
        <w:rPr>
          <w:rFonts w:asciiTheme="majorHAnsi" w:hAnsiTheme="majorHAnsi"/>
        </w:rPr>
        <w:t>”</w:t>
      </w:r>
      <w:r w:rsidR="00A968B1" w:rsidRPr="0080343B">
        <w:rPr>
          <w:rFonts w:asciiTheme="majorHAnsi" w:hAnsiTheme="majorHAnsi"/>
        </w:rPr>
        <w:t xml:space="preserve"> arbitration panels to challenge national laws an</w:t>
      </w:r>
      <w:r w:rsidR="003D6B85" w:rsidRPr="0080343B">
        <w:rPr>
          <w:rFonts w:asciiTheme="majorHAnsi" w:hAnsiTheme="majorHAnsi"/>
        </w:rPr>
        <w:t xml:space="preserve">d regulations they do not like—where, for instance, a new law might </w:t>
      </w:r>
      <w:r w:rsidR="00671E91" w:rsidRPr="0080343B">
        <w:rPr>
          <w:rFonts w:asciiTheme="majorHAnsi" w:hAnsiTheme="majorHAnsi"/>
        </w:rPr>
        <w:t xml:space="preserve">affect a company’s profitability. </w:t>
      </w:r>
    </w:p>
    <w:p w:rsidR="005D1BC4" w:rsidRDefault="001931CC" w:rsidP="00AD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20"/>
        </w:tabs>
        <w:spacing w:after="0" w:line="312" w:lineRule="auto"/>
        <w:rPr>
          <w:rFonts w:asciiTheme="majorHAnsi" w:hAnsiTheme="majorHAnsi"/>
        </w:rPr>
      </w:pPr>
      <w:r w:rsidRPr="0080343B">
        <w:rPr>
          <w:rFonts w:asciiTheme="majorHAnsi" w:hAnsiTheme="majorHAnsi"/>
        </w:rPr>
        <w:t>The reality</w:t>
      </w:r>
      <w:r w:rsidR="005D1BC4" w:rsidRPr="0080343B">
        <w:rPr>
          <w:rFonts w:asciiTheme="majorHAnsi" w:hAnsiTheme="majorHAnsi"/>
        </w:rPr>
        <w:t>,</w:t>
      </w:r>
      <w:r w:rsidRPr="0080343B">
        <w:rPr>
          <w:rFonts w:asciiTheme="majorHAnsi" w:hAnsiTheme="majorHAnsi"/>
        </w:rPr>
        <w:t xml:space="preserve"> however, is quite different. T</w:t>
      </w:r>
      <w:r w:rsidR="005D1BC4" w:rsidRPr="0080343B">
        <w:rPr>
          <w:rFonts w:asciiTheme="majorHAnsi" w:hAnsiTheme="majorHAnsi"/>
        </w:rPr>
        <w:t>he grounds for bringing a</w:t>
      </w:r>
      <w:r w:rsidR="000E196F" w:rsidRPr="0080343B">
        <w:rPr>
          <w:rFonts w:asciiTheme="majorHAnsi" w:hAnsiTheme="majorHAnsi"/>
        </w:rPr>
        <w:t xml:space="preserve"> </w:t>
      </w:r>
      <w:r w:rsidR="003D6B85" w:rsidRPr="0080343B">
        <w:rPr>
          <w:rFonts w:asciiTheme="majorHAnsi" w:hAnsiTheme="majorHAnsi"/>
        </w:rPr>
        <w:t>claim</w:t>
      </w:r>
      <w:r w:rsidR="000E196F" w:rsidRPr="0080343B">
        <w:rPr>
          <w:rFonts w:asciiTheme="majorHAnsi" w:hAnsiTheme="majorHAnsi"/>
        </w:rPr>
        <w:t xml:space="preserve"> </w:t>
      </w:r>
      <w:r w:rsidR="0029397A" w:rsidRPr="0080343B">
        <w:rPr>
          <w:rFonts w:asciiTheme="majorHAnsi" w:hAnsiTheme="majorHAnsi"/>
        </w:rPr>
        <w:t>under investment agreements</w:t>
      </w:r>
      <w:r w:rsidR="009015F7" w:rsidRPr="0080343B">
        <w:rPr>
          <w:rFonts w:asciiTheme="majorHAnsi" w:hAnsiTheme="majorHAnsi"/>
        </w:rPr>
        <w:t xml:space="preserve"> </w:t>
      </w:r>
      <w:r w:rsidR="005D1BC4" w:rsidRPr="0080343B">
        <w:rPr>
          <w:rFonts w:asciiTheme="majorHAnsi" w:hAnsiTheme="majorHAnsi"/>
        </w:rPr>
        <w:t xml:space="preserve">are </w:t>
      </w:r>
      <w:r w:rsidR="009015F7" w:rsidRPr="0080343B">
        <w:rPr>
          <w:rFonts w:asciiTheme="majorHAnsi" w:hAnsiTheme="majorHAnsi"/>
        </w:rPr>
        <w:t xml:space="preserve">narrowly defined—and, in reality, relatively rarely used. However, </w:t>
      </w:r>
      <w:r w:rsidR="000E196F" w:rsidRPr="0080343B">
        <w:rPr>
          <w:rFonts w:asciiTheme="majorHAnsi" w:hAnsiTheme="majorHAnsi"/>
        </w:rPr>
        <w:t>these well-established provisions play an essential in</w:t>
      </w:r>
      <w:r w:rsidR="00D10A67" w:rsidRPr="0080343B">
        <w:rPr>
          <w:rFonts w:asciiTheme="majorHAnsi" w:hAnsiTheme="majorHAnsi"/>
        </w:rPr>
        <w:t xml:space="preserve"> promoting investor confidence and</w:t>
      </w:r>
      <w:r w:rsidR="000E196F" w:rsidRPr="0080343B">
        <w:rPr>
          <w:rFonts w:asciiTheme="majorHAnsi" w:hAnsiTheme="majorHAnsi"/>
        </w:rPr>
        <w:t xml:space="preserve"> supporting FDI flows</w:t>
      </w:r>
      <w:r w:rsidR="009015F7" w:rsidRPr="0080343B">
        <w:rPr>
          <w:rFonts w:asciiTheme="majorHAnsi" w:hAnsiTheme="majorHAnsi"/>
        </w:rPr>
        <w:t xml:space="preserve"> across the globe</w:t>
      </w:r>
      <w:r w:rsidR="003D6B85" w:rsidRPr="0080343B">
        <w:rPr>
          <w:rFonts w:asciiTheme="majorHAnsi" w:hAnsiTheme="majorHAnsi"/>
        </w:rPr>
        <w:t>.</w:t>
      </w:r>
      <w:r w:rsidR="00DD3068" w:rsidRPr="0080343B">
        <w:rPr>
          <w:rFonts w:asciiTheme="majorHAnsi" w:hAnsiTheme="majorHAnsi"/>
        </w:rPr>
        <w:t xml:space="preserve"> </w:t>
      </w:r>
      <w:r w:rsidR="005D1BC4" w:rsidRPr="0080343B">
        <w:rPr>
          <w:rFonts w:asciiTheme="majorHAnsi" w:hAnsiTheme="majorHAnsi"/>
        </w:rPr>
        <w:t xml:space="preserve">This paper aims to clarify </w:t>
      </w:r>
      <w:r w:rsidR="00F35C0B" w:rsidRPr="0080343B">
        <w:rPr>
          <w:rFonts w:asciiTheme="majorHAnsi" w:hAnsiTheme="majorHAnsi"/>
        </w:rPr>
        <w:t xml:space="preserve">some of the common misunderstanding about </w:t>
      </w:r>
      <w:r w:rsidR="006464A2" w:rsidRPr="0080343B">
        <w:rPr>
          <w:rFonts w:asciiTheme="majorHAnsi" w:hAnsiTheme="majorHAnsi"/>
        </w:rPr>
        <w:t>ISDS</w:t>
      </w:r>
      <w:r w:rsidR="00DD28D8" w:rsidRPr="0080343B">
        <w:rPr>
          <w:rFonts w:asciiTheme="majorHAnsi" w:hAnsiTheme="majorHAnsi"/>
        </w:rPr>
        <w:t xml:space="preserve"> </w:t>
      </w:r>
      <w:r w:rsidR="006464A2" w:rsidRPr="0080343B">
        <w:rPr>
          <w:rFonts w:asciiTheme="majorHAnsi" w:hAnsiTheme="majorHAnsi"/>
        </w:rPr>
        <w:t xml:space="preserve">and </w:t>
      </w:r>
      <w:r w:rsidRPr="0080343B">
        <w:rPr>
          <w:rFonts w:asciiTheme="majorHAnsi" w:hAnsiTheme="majorHAnsi"/>
        </w:rPr>
        <w:t>its use within</w:t>
      </w:r>
      <w:r w:rsidR="00DD28D8" w:rsidRPr="0080343B">
        <w:rPr>
          <w:rFonts w:asciiTheme="majorHAnsi" w:hAnsiTheme="majorHAnsi"/>
        </w:rPr>
        <w:t xml:space="preserve"> inter</w:t>
      </w:r>
      <w:r w:rsidR="003D6B85" w:rsidRPr="0080343B">
        <w:rPr>
          <w:rFonts w:asciiTheme="majorHAnsi" w:hAnsiTheme="majorHAnsi"/>
        </w:rPr>
        <w:t>national investment agreements.</w:t>
      </w:r>
    </w:p>
    <w:p w:rsidR="00AD0483" w:rsidRPr="0080343B" w:rsidRDefault="00AD0483" w:rsidP="00AD0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20"/>
        </w:tabs>
        <w:spacing w:after="160" w:line="120" w:lineRule="auto"/>
        <w:rPr>
          <w:rFonts w:asciiTheme="majorHAnsi" w:hAnsiTheme="majorHAnsi"/>
        </w:rPr>
      </w:pPr>
    </w:p>
    <w:p w:rsidR="005D1BC4" w:rsidRPr="001931CC" w:rsidRDefault="005D1BC4" w:rsidP="001931CC">
      <w:pPr>
        <w:tabs>
          <w:tab w:val="left" w:pos="8520"/>
        </w:tabs>
        <w:spacing w:after="0" w:line="312" w:lineRule="auto"/>
        <w:rPr>
          <w:rFonts w:asciiTheme="majorHAnsi" w:hAnsiTheme="majorHAnsi"/>
          <w:b/>
          <w:sz w:val="24"/>
          <w:szCs w:val="24"/>
        </w:rPr>
      </w:pPr>
    </w:p>
    <w:p w:rsidR="00872DD9" w:rsidRPr="001931CC" w:rsidRDefault="00671E91" w:rsidP="001931CC">
      <w:pPr>
        <w:tabs>
          <w:tab w:val="left" w:pos="8520"/>
        </w:tabs>
        <w:spacing w:after="120" w:line="312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MYTH 1: </w:t>
      </w:r>
      <w:r w:rsidR="00DD3068">
        <w:rPr>
          <w:rFonts w:asciiTheme="majorHAnsi" w:hAnsiTheme="majorHAnsi"/>
          <w:b/>
          <w:sz w:val="24"/>
          <w:szCs w:val="24"/>
        </w:rPr>
        <w:t xml:space="preserve">ISDS </w:t>
      </w:r>
      <w:r w:rsidR="00ED5027">
        <w:rPr>
          <w:rFonts w:asciiTheme="majorHAnsi" w:hAnsiTheme="majorHAnsi"/>
          <w:b/>
          <w:sz w:val="24"/>
          <w:szCs w:val="24"/>
        </w:rPr>
        <w:t>restrict</w:t>
      </w:r>
      <w:r>
        <w:rPr>
          <w:rFonts w:asciiTheme="majorHAnsi" w:hAnsiTheme="majorHAnsi"/>
          <w:b/>
          <w:sz w:val="24"/>
          <w:szCs w:val="24"/>
        </w:rPr>
        <w:t>s</w:t>
      </w:r>
      <w:r w:rsidR="00DD3068">
        <w:rPr>
          <w:rFonts w:asciiTheme="majorHAnsi" w:hAnsiTheme="majorHAnsi"/>
          <w:b/>
          <w:sz w:val="24"/>
          <w:szCs w:val="24"/>
        </w:rPr>
        <w:t xml:space="preserve"> the ability of governments to introduce </w:t>
      </w:r>
      <w:r w:rsidR="001B304B">
        <w:rPr>
          <w:rFonts w:asciiTheme="majorHAnsi" w:hAnsiTheme="majorHAnsi"/>
          <w:b/>
          <w:sz w:val="24"/>
          <w:szCs w:val="24"/>
        </w:rPr>
        <w:t>new regulatory policies</w:t>
      </w:r>
      <w:r w:rsidR="00DD3068">
        <w:rPr>
          <w:rFonts w:asciiTheme="majorHAnsi" w:hAnsiTheme="majorHAnsi"/>
          <w:b/>
          <w:sz w:val="24"/>
          <w:szCs w:val="24"/>
        </w:rPr>
        <w:t xml:space="preserve">  </w:t>
      </w:r>
    </w:p>
    <w:p w:rsidR="003D6B85" w:rsidRPr="00135599" w:rsidRDefault="001931CC" w:rsidP="003D6B85">
      <w:pPr>
        <w:tabs>
          <w:tab w:val="left" w:pos="8520"/>
        </w:tabs>
        <w:spacing w:after="160" w:line="312" w:lineRule="auto"/>
        <w:rPr>
          <w:rFonts w:asciiTheme="majorHAnsi" w:hAnsiTheme="majorHAnsi" w:cs="Arial"/>
        </w:rPr>
      </w:pPr>
      <w:r w:rsidRPr="0080343B">
        <w:rPr>
          <w:rFonts w:asciiTheme="majorHAnsi" w:hAnsiTheme="majorHAnsi"/>
        </w:rPr>
        <w:t>Every</w:t>
      </w:r>
      <w:r w:rsidR="00E54428" w:rsidRPr="0080343B">
        <w:rPr>
          <w:rFonts w:asciiTheme="majorHAnsi" w:hAnsiTheme="majorHAnsi"/>
        </w:rPr>
        <w:t xml:space="preserve"> investment agreement</w:t>
      </w:r>
      <w:r w:rsidR="003D6B85" w:rsidRPr="0080343B">
        <w:rPr>
          <w:rFonts w:asciiTheme="majorHAnsi" w:hAnsiTheme="majorHAnsi"/>
        </w:rPr>
        <w:t>—</w:t>
      </w:r>
      <w:r w:rsidRPr="0080343B">
        <w:rPr>
          <w:rFonts w:asciiTheme="majorHAnsi" w:hAnsiTheme="majorHAnsi"/>
        </w:rPr>
        <w:t>including</w:t>
      </w:r>
      <w:r w:rsidR="00CB784D" w:rsidRPr="0080343B">
        <w:rPr>
          <w:rFonts w:asciiTheme="majorHAnsi" w:hAnsiTheme="majorHAnsi"/>
        </w:rPr>
        <w:t xml:space="preserve"> </w:t>
      </w:r>
      <w:r w:rsidR="006464A2" w:rsidRPr="0080343B">
        <w:rPr>
          <w:rFonts w:asciiTheme="majorHAnsi" w:hAnsiTheme="majorHAnsi"/>
        </w:rPr>
        <w:t xml:space="preserve">all of </w:t>
      </w:r>
      <w:r w:rsidR="0080343B">
        <w:rPr>
          <w:rFonts w:asciiTheme="majorHAnsi" w:hAnsiTheme="majorHAnsi"/>
        </w:rPr>
        <w:t xml:space="preserve">the </w:t>
      </w:r>
      <w:r w:rsidR="007109DD" w:rsidRPr="0080343B">
        <w:rPr>
          <w:rFonts w:asciiTheme="majorHAnsi" w:hAnsiTheme="majorHAnsi"/>
        </w:rPr>
        <w:t>1,</w:t>
      </w:r>
      <w:r w:rsidRPr="0080343B">
        <w:rPr>
          <w:rFonts w:asciiTheme="majorHAnsi" w:hAnsiTheme="majorHAnsi"/>
        </w:rPr>
        <w:t xml:space="preserve">400 investment </w:t>
      </w:r>
      <w:r w:rsidR="00BD2296" w:rsidRPr="0080343B">
        <w:rPr>
          <w:rFonts w:asciiTheme="majorHAnsi" w:hAnsiTheme="majorHAnsi"/>
        </w:rPr>
        <w:t>treaties</w:t>
      </w:r>
      <w:r w:rsidR="0080343B">
        <w:rPr>
          <w:rFonts w:asciiTheme="majorHAnsi" w:hAnsiTheme="majorHAnsi"/>
        </w:rPr>
        <w:t xml:space="preserve"> entered into by EU Member States</w:t>
      </w:r>
      <w:r w:rsidR="003D6B85" w:rsidRPr="0080343B">
        <w:rPr>
          <w:rFonts w:asciiTheme="majorHAnsi" w:hAnsiTheme="majorHAnsi"/>
        </w:rPr>
        <w:t>—</w:t>
      </w:r>
      <w:r w:rsidR="00E54428" w:rsidRPr="0080343B">
        <w:rPr>
          <w:rFonts w:asciiTheme="majorHAnsi" w:hAnsiTheme="majorHAnsi"/>
        </w:rPr>
        <w:t xml:space="preserve">has </w:t>
      </w:r>
      <w:r w:rsidR="007109DD" w:rsidRPr="0080343B">
        <w:rPr>
          <w:rFonts w:asciiTheme="majorHAnsi" w:hAnsiTheme="majorHAnsi"/>
        </w:rPr>
        <w:t xml:space="preserve">carefully </w:t>
      </w:r>
      <w:r w:rsidR="00E54428" w:rsidRPr="0080343B">
        <w:rPr>
          <w:rFonts w:asciiTheme="majorHAnsi" w:hAnsiTheme="majorHAnsi"/>
        </w:rPr>
        <w:t xml:space="preserve">defined investment protection standards </w:t>
      </w:r>
      <w:r w:rsidR="007A392D" w:rsidRPr="0080343B">
        <w:rPr>
          <w:rFonts w:asciiTheme="majorHAnsi" w:hAnsiTheme="majorHAnsi" w:cs="Arial"/>
        </w:rPr>
        <w:t xml:space="preserve">to </w:t>
      </w:r>
      <w:r w:rsidR="00E54428" w:rsidRPr="0080343B">
        <w:rPr>
          <w:rFonts w:asciiTheme="majorHAnsi" w:hAnsiTheme="majorHAnsi" w:cs="Arial"/>
        </w:rPr>
        <w:t xml:space="preserve">which </w:t>
      </w:r>
      <w:r w:rsidR="006464A2" w:rsidRPr="0080343B">
        <w:rPr>
          <w:rFonts w:asciiTheme="majorHAnsi" w:hAnsiTheme="majorHAnsi" w:cs="Arial"/>
        </w:rPr>
        <w:t xml:space="preserve">the host state </w:t>
      </w:r>
      <w:r w:rsidR="00E54428" w:rsidRPr="0080343B">
        <w:rPr>
          <w:rFonts w:asciiTheme="majorHAnsi" w:hAnsiTheme="majorHAnsi" w:cs="Arial"/>
        </w:rPr>
        <w:t>agree</w:t>
      </w:r>
      <w:r w:rsidR="006464A2" w:rsidRPr="0080343B">
        <w:rPr>
          <w:rFonts w:asciiTheme="majorHAnsi" w:hAnsiTheme="majorHAnsi" w:cs="Arial"/>
        </w:rPr>
        <w:t>s</w:t>
      </w:r>
      <w:r w:rsidR="00E54428" w:rsidRPr="0080343B">
        <w:rPr>
          <w:rFonts w:asciiTheme="majorHAnsi" w:hAnsiTheme="majorHAnsi" w:cs="Arial"/>
        </w:rPr>
        <w:t xml:space="preserve"> to adhere.</w:t>
      </w:r>
      <w:r w:rsidR="00ED5027" w:rsidRPr="0080343B">
        <w:rPr>
          <w:rFonts w:asciiTheme="majorHAnsi" w:hAnsiTheme="majorHAnsi" w:cs="Arial"/>
        </w:rPr>
        <w:t xml:space="preserve"> </w:t>
      </w:r>
      <w:r w:rsidR="006A651E" w:rsidRPr="0080343B">
        <w:rPr>
          <w:rFonts w:asciiTheme="majorHAnsi" w:hAnsiTheme="majorHAnsi" w:cs="Arial"/>
        </w:rPr>
        <w:t>I</w:t>
      </w:r>
      <w:r w:rsidR="00E54428" w:rsidRPr="0080343B">
        <w:rPr>
          <w:rFonts w:asciiTheme="majorHAnsi" w:hAnsiTheme="majorHAnsi" w:cs="Arial"/>
        </w:rPr>
        <w:t xml:space="preserve">f </w:t>
      </w:r>
      <w:r w:rsidR="007A392D" w:rsidRPr="0080343B">
        <w:rPr>
          <w:rFonts w:asciiTheme="majorHAnsi" w:hAnsiTheme="majorHAnsi" w:cs="Arial"/>
        </w:rPr>
        <w:t xml:space="preserve">a company </w:t>
      </w:r>
      <w:r w:rsidR="00E54428" w:rsidRPr="0080343B">
        <w:rPr>
          <w:rFonts w:asciiTheme="majorHAnsi" w:hAnsiTheme="majorHAnsi" w:cs="Arial"/>
        </w:rPr>
        <w:t xml:space="preserve">wants to </w:t>
      </w:r>
      <w:r w:rsidRPr="0080343B">
        <w:rPr>
          <w:rFonts w:asciiTheme="majorHAnsi" w:hAnsiTheme="majorHAnsi" w:cs="Arial"/>
        </w:rPr>
        <w:t xml:space="preserve">make a </w:t>
      </w:r>
      <w:r w:rsidR="003D6B85" w:rsidRPr="0080343B">
        <w:rPr>
          <w:rFonts w:asciiTheme="majorHAnsi" w:hAnsiTheme="majorHAnsi" w:cs="Arial"/>
        </w:rPr>
        <w:t xml:space="preserve">claim against a state they need to prove that one </w:t>
      </w:r>
      <w:r w:rsidR="007109DD" w:rsidRPr="0080343B">
        <w:rPr>
          <w:rFonts w:asciiTheme="majorHAnsi" w:hAnsiTheme="majorHAnsi" w:cs="Arial"/>
        </w:rPr>
        <w:t>(</w:t>
      </w:r>
      <w:r w:rsidR="003D6B85" w:rsidRPr="0080343B">
        <w:rPr>
          <w:rFonts w:asciiTheme="majorHAnsi" w:hAnsiTheme="majorHAnsi" w:cs="Arial"/>
        </w:rPr>
        <w:t>or more</w:t>
      </w:r>
      <w:r w:rsidR="007109DD" w:rsidRPr="0080343B">
        <w:rPr>
          <w:rFonts w:asciiTheme="majorHAnsi" w:hAnsiTheme="majorHAnsi" w:cs="Arial"/>
        </w:rPr>
        <w:t>)</w:t>
      </w:r>
      <w:r w:rsidR="003D6B85" w:rsidRPr="0080343B">
        <w:rPr>
          <w:rFonts w:asciiTheme="majorHAnsi" w:hAnsiTheme="majorHAnsi" w:cs="Arial"/>
        </w:rPr>
        <w:t xml:space="preserve"> of the investment protection standards</w:t>
      </w:r>
      <w:r w:rsidR="006A651E" w:rsidRPr="0080343B">
        <w:rPr>
          <w:rFonts w:asciiTheme="majorHAnsi" w:hAnsiTheme="majorHAnsi" w:cs="Arial"/>
        </w:rPr>
        <w:t xml:space="preserve"> in an agreement has been breached</w:t>
      </w:r>
      <w:r w:rsidR="00D10A67" w:rsidRPr="0080343B">
        <w:rPr>
          <w:rFonts w:asciiTheme="majorHAnsi" w:hAnsiTheme="majorHAnsi" w:cs="Arial"/>
        </w:rPr>
        <w:t xml:space="preserve">—such as </w:t>
      </w:r>
      <w:r w:rsidR="00135599">
        <w:rPr>
          <w:rFonts w:asciiTheme="majorHAnsi" w:hAnsiTheme="majorHAnsi" w:cs="Arial"/>
        </w:rPr>
        <w:t xml:space="preserve">protection against expropriation, inequitable treatment or discrimination towards overseas investors. </w:t>
      </w:r>
    </w:p>
    <w:p w:rsidR="00581703" w:rsidRPr="0080343B" w:rsidRDefault="00D10A67" w:rsidP="003D6B85">
      <w:pPr>
        <w:tabs>
          <w:tab w:val="left" w:pos="8520"/>
        </w:tabs>
        <w:spacing w:after="160" w:line="312" w:lineRule="auto"/>
        <w:rPr>
          <w:rFonts w:asciiTheme="majorHAnsi" w:hAnsiTheme="majorHAnsi"/>
        </w:rPr>
      </w:pPr>
      <w:r w:rsidRPr="0080343B">
        <w:rPr>
          <w:rFonts w:asciiTheme="majorHAnsi" w:hAnsiTheme="majorHAnsi"/>
        </w:rPr>
        <w:t>There is no evidence to suggest that the use of these agreements has restricted the ability of governments to pursue legitimate public policy objectives. Indeed, i</w:t>
      </w:r>
      <w:r w:rsidR="007109DD" w:rsidRPr="0080343B">
        <w:rPr>
          <w:rFonts w:asciiTheme="majorHAnsi" w:hAnsiTheme="majorHAnsi"/>
        </w:rPr>
        <w:t xml:space="preserve">nvestors cannot </w:t>
      </w:r>
      <w:r w:rsidRPr="0080343B">
        <w:rPr>
          <w:rFonts w:asciiTheme="majorHAnsi" w:hAnsiTheme="majorHAnsi"/>
        </w:rPr>
        <w:t>use</w:t>
      </w:r>
      <w:r w:rsidR="007109DD" w:rsidRPr="0080343B">
        <w:rPr>
          <w:rFonts w:asciiTheme="majorHAnsi" w:hAnsiTheme="majorHAnsi"/>
        </w:rPr>
        <w:t xml:space="preserve"> ISDS provisions to </w:t>
      </w:r>
      <w:r w:rsidRPr="0080343B">
        <w:rPr>
          <w:rFonts w:asciiTheme="majorHAnsi" w:hAnsiTheme="majorHAnsi"/>
        </w:rPr>
        <w:t>bring a claim</w:t>
      </w:r>
      <w:r w:rsidR="007109DD" w:rsidRPr="0080343B">
        <w:rPr>
          <w:rFonts w:asciiTheme="majorHAnsi" w:hAnsiTheme="majorHAnsi"/>
        </w:rPr>
        <w:t xml:space="preserve"> a</w:t>
      </w:r>
      <w:r w:rsidRPr="0080343B">
        <w:rPr>
          <w:rFonts w:asciiTheme="majorHAnsi" w:hAnsiTheme="majorHAnsi"/>
        </w:rPr>
        <w:t>gainst a</w:t>
      </w:r>
      <w:r w:rsidR="007109DD" w:rsidRPr="0080343B">
        <w:rPr>
          <w:rFonts w:asciiTheme="majorHAnsi" w:hAnsiTheme="majorHAnsi"/>
        </w:rPr>
        <w:t xml:space="preserve"> state just b</w:t>
      </w:r>
      <w:r w:rsidRPr="0080343B">
        <w:rPr>
          <w:rFonts w:asciiTheme="majorHAnsi" w:hAnsiTheme="majorHAnsi"/>
        </w:rPr>
        <w:t xml:space="preserve">ecause their profits might be affected by a new </w:t>
      </w:r>
      <w:r w:rsidRPr="0080343B">
        <w:rPr>
          <w:rFonts w:asciiTheme="majorHAnsi" w:hAnsiTheme="majorHAnsi"/>
        </w:rPr>
        <w:lastRenderedPageBreak/>
        <w:t>g</w:t>
      </w:r>
      <w:r w:rsidR="007109DD" w:rsidRPr="0080343B">
        <w:rPr>
          <w:rFonts w:asciiTheme="majorHAnsi" w:hAnsiTheme="majorHAnsi"/>
        </w:rPr>
        <w:t xml:space="preserve">overnment policy. Most often claims are brought in </w:t>
      </w:r>
      <w:r w:rsidRPr="0080343B">
        <w:rPr>
          <w:rFonts w:asciiTheme="majorHAnsi" w:hAnsiTheme="majorHAnsi"/>
        </w:rPr>
        <w:t>extreme situations—such as where a company’s assets are expropriated without proper recompense; or where</w:t>
      </w:r>
      <w:r w:rsidR="00581703" w:rsidRPr="0080343B">
        <w:rPr>
          <w:rFonts w:asciiTheme="majorHAnsi" w:hAnsiTheme="majorHAnsi"/>
        </w:rPr>
        <w:t xml:space="preserve"> existing</w:t>
      </w:r>
      <w:r w:rsidRPr="0080343B">
        <w:rPr>
          <w:rFonts w:asciiTheme="majorHAnsi" w:hAnsiTheme="majorHAnsi"/>
        </w:rPr>
        <w:t xml:space="preserve"> </w:t>
      </w:r>
      <w:r w:rsidR="00581703" w:rsidRPr="0080343B">
        <w:rPr>
          <w:rFonts w:asciiTheme="majorHAnsi" w:hAnsiTheme="majorHAnsi"/>
        </w:rPr>
        <w:t xml:space="preserve">foreign investors are discriminated against compared to local competitors.  </w:t>
      </w:r>
      <w:r w:rsidRPr="0080343B">
        <w:rPr>
          <w:rFonts w:asciiTheme="majorHAnsi" w:hAnsiTheme="majorHAnsi"/>
        </w:rPr>
        <w:t xml:space="preserve"> </w:t>
      </w:r>
    </w:p>
    <w:p w:rsidR="002E6390" w:rsidRPr="0080343B" w:rsidRDefault="00581703" w:rsidP="003D6B85">
      <w:pPr>
        <w:tabs>
          <w:tab w:val="left" w:pos="8520"/>
        </w:tabs>
        <w:spacing w:after="160" w:line="312" w:lineRule="auto"/>
        <w:rPr>
          <w:rFonts w:asciiTheme="majorHAnsi" w:hAnsiTheme="majorHAnsi"/>
        </w:rPr>
      </w:pPr>
      <w:r w:rsidRPr="0080343B">
        <w:rPr>
          <w:rFonts w:asciiTheme="majorHAnsi" w:hAnsiTheme="majorHAnsi"/>
        </w:rPr>
        <w:t xml:space="preserve">In some circumstances, investors may make a claim where the introduction of new laws significantly limits the ability of a company to operate in a particular jurisdiction. This problem is often referred to as “regulatory expropriation”—an issue </w:t>
      </w:r>
      <w:r w:rsidR="002E6390" w:rsidRPr="0080343B">
        <w:rPr>
          <w:rFonts w:asciiTheme="majorHAnsi" w:hAnsiTheme="majorHAnsi"/>
        </w:rPr>
        <w:t>that</w:t>
      </w:r>
      <w:r w:rsidRPr="0080343B">
        <w:rPr>
          <w:rFonts w:asciiTheme="majorHAnsi" w:hAnsiTheme="majorHAnsi"/>
        </w:rPr>
        <w:t xml:space="preserve"> has grown in prominence in recent years as many governments have sought to disguise protectionist policies </w:t>
      </w:r>
      <w:r w:rsidR="0080343B">
        <w:rPr>
          <w:rFonts w:asciiTheme="majorHAnsi" w:hAnsiTheme="majorHAnsi"/>
        </w:rPr>
        <w:t xml:space="preserve">by reference to </w:t>
      </w:r>
      <w:r w:rsidRPr="0080343B">
        <w:rPr>
          <w:rFonts w:asciiTheme="majorHAnsi" w:hAnsiTheme="majorHAnsi"/>
        </w:rPr>
        <w:t>saf</w:t>
      </w:r>
      <w:r w:rsidR="0080343B">
        <w:rPr>
          <w:rFonts w:asciiTheme="majorHAnsi" w:hAnsiTheme="majorHAnsi"/>
        </w:rPr>
        <w:t>ety- or environmental-related goals</w:t>
      </w:r>
      <w:r w:rsidR="002E6390" w:rsidRPr="0080343B">
        <w:rPr>
          <w:rFonts w:asciiTheme="majorHAnsi" w:hAnsiTheme="majorHAnsi"/>
        </w:rPr>
        <w:t xml:space="preserve">. </w:t>
      </w:r>
      <w:r w:rsidRPr="0080343B">
        <w:rPr>
          <w:rFonts w:asciiTheme="majorHAnsi" w:hAnsiTheme="majorHAnsi"/>
        </w:rPr>
        <w:t xml:space="preserve"> </w:t>
      </w:r>
    </w:p>
    <w:p w:rsidR="006464A2" w:rsidRPr="0080343B" w:rsidRDefault="006742CC" w:rsidP="009B3753">
      <w:pPr>
        <w:tabs>
          <w:tab w:val="left" w:pos="8520"/>
        </w:tabs>
        <w:spacing w:after="0" w:line="312" w:lineRule="auto"/>
        <w:rPr>
          <w:rFonts w:asciiTheme="majorHAnsi" w:hAnsiTheme="majorHAnsi"/>
        </w:rPr>
      </w:pPr>
      <w:r w:rsidRPr="0080343B">
        <w:rPr>
          <w:rFonts w:asciiTheme="majorHAnsi" w:hAnsiTheme="majorHAnsi" w:cs="Arial"/>
          <w:lang w:val="en-US"/>
        </w:rPr>
        <w:t>I</w:t>
      </w:r>
      <w:r w:rsidR="002E6390" w:rsidRPr="0080343B">
        <w:rPr>
          <w:rFonts w:asciiTheme="majorHAnsi" w:hAnsiTheme="majorHAnsi" w:cs="Arial"/>
          <w:lang w:val="en-US"/>
        </w:rPr>
        <w:t>n this context, i</w:t>
      </w:r>
      <w:r w:rsidRPr="0080343B">
        <w:rPr>
          <w:rFonts w:asciiTheme="majorHAnsi" w:hAnsiTheme="majorHAnsi" w:cs="Arial"/>
          <w:lang w:val="en-US"/>
        </w:rPr>
        <w:t xml:space="preserve">t is vital that </w:t>
      </w:r>
      <w:r w:rsidR="002E6390" w:rsidRPr="0080343B">
        <w:rPr>
          <w:rFonts w:asciiTheme="majorHAnsi" w:hAnsiTheme="majorHAnsi" w:cs="Arial"/>
          <w:lang w:val="en-US"/>
        </w:rPr>
        <w:t xml:space="preserve">investors </w:t>
      </w:r>
      <w:r w:rsidRPr="0080343B">
        <w:rPr>
          <w:rFonts w:asciiTheme="majorHAnsi" w:hAnsiTheme="majorHAnsi" w:cs="Arial"/>
          <w:lang w:val="en-US"/>
        </w:rPr>
        <w:t xml:space="preserve">have a means to challenge </w:t>
      </w:r>
      <w:r w:rsidR="002E6390" w:rsidRPr="0080343B">
        <w:rPr>
          <w:rFonts w:asciiTheme="majorHAnsi" w:hAnsiTheme="majorHAnsi" w:cs="Arial"/>
          <w:lang w:val="en-US"/>
        </w:rPr>
        <w:t xml:space="preserve">domestic laws where one of the central guarantees granted by an existing </w:t>
      </w:r>
      <w:r w:rsidRPr="0080343B">
        <w:rPr>
          <w:rFonts w:asciiTheme="majorHAnsi" w:hAnsiTheme="majorHAnsi" w:cs="Arial"/>
          <w:lang w:val="en-US"/>
        </w:rPr>
        <w:t>investment agreement i</w:t>
      </w:r>
      <w:r w:rsidR="002E6390" w:rsidRPr="0080343B">
        <w:rPr>
          <w:rFonts w:asciiTheme="majorHAnsi" w:hAnsiTheme="majorHAnsi" w:cs="Arial"/>
          <w:lang w:val="en-US"/>
        </w:rPr>
        <w:t xml:space="preserve">s violated. </w:t>
      </w:r>
      <w:r w:rsidR="00702110" w:rsidRPr="0080343B">
        <w:rPr>
          <w:rFonts w:asciiTheme="majorHAnsi" w:hAnsiTheme="majorHAnsi"/>
        </w:rPr>
        <w:t xml:space="preserve">ISDS </w:t>
      </w:r>
      <w:r w:rsidR="0080343B">
        <w:rPr>
          <w:rFonts w:asciiTheme="majorHAnsi" w:hAnsiTheme="majorHAnsi"/>
        </w:rPr>
        <w:t>can therefore act</w:t>
      </w:r>
      <w:r w:rsidR="00BD2296" w:rsidRPr="0080343B">
        <w:rPr>
          <w:rFonts w:asciiTheme="majorHAnsi" w:hAnsiTheme="majorHAnsi"/>
        </w:rPr>
        <w:t xml:space="preserve"> as</w:t>
      </w:r>
      <w:r w:rsidR="006464A2" w:rsidRPr="0080343B">
        <w:rPr>
          <w:rFonts w:asciiTheme="majorHAnsi" w:hAnsiTheme="majorHAnsi"/>
        </w:rPr>
        <w:t xml:space="preserve"> </w:t>
      </w:r>
      <w:r w:rsidR="00702110" w:rsidRPr="0080343B">
        <w:rPr>
          <w:rFonts w:asciiTheme="majorHAnsi" w:hAnsiTheme="majorHAnsi"/>
        </w:rPr>
        <w:t>an important</w:t>
      </w:r>
      <w:r w:rsidR="002E6390" w:rsidRPr="0080343B">
        <w:rPr>
          <w:rFonts w:asciiTheme="majorHAnsi" w:hAnsiTheme="majorHAnsi"/>
        </w:rPr>
        <w:t xml:space="preserve"> </w:t>
      </w:r>
      <w:r w:rsidR="00702110" w:rsidRPr="0080343B">
        <w:rPr>
          <w:rFonts w:asciiTheme="majorHAnsi" w:hAnsiTheme="majorHAnsi"/>
        </w:rPr>
        <w:t xml:space="preserve">check </w:t>
      </w:r>
      <w:r w:rsidR="002E6390" w:rsidRPr="0080343B">
        <w:rPr>
          <w:rFonts w:asciiTheme="majorHAnsi" w:hAnsiTheme="majorHAnsi"/>
        </w:rPr>
        <w:t xml:space="preserve">on protectionist </w:t>
      </w:r>
      <w:r w:rsidR="0080343B">
        <w:rPr>
          <w:rFonts w:asciiTheme="majorHAnsi" w:hAnsiTheme="majorHAnsi"/>
        </w:rPr>
        <w:t xml:space="preserve">or “nationalistic” </w:t>
      </w:r>
      <w:r w:rsidR="002E6390" w:rsidRPr="0080343B">
        <w:rPr>
          <w:rFonts w:asciiTheme="majorHAnsi" w:hAnsiTheme="majorHAnsi"/>
        </w:rPr>
        <w:t xml:space="preserve">policies, as well as ensuring that investors are adequately compensated for </w:t>
      </w:r>
      <w:r w:rsidR="006464A2" w:rsidRPr="0080343B">
        <w:rPr>
          <w:rFonts w:asciiTheme="majorHAnsi" w:hAnsiTheme="majorHAnsi"/>
        </w:rPr>
        <w:t>harm caused by breaches</w:t>
      </w:r>
      <w:r w:rsidR="0080343B">
        <w:rPr>
          <w:rFonts w:asciiTheme="majorHAnsi" w:hAnsiTheme="majorHAnsi"/>
        </w:rPr>
        <w:t xml:space="preserve"> of investment treaty rules</w:t>
      </w:r>
      <w:r w:rsidR="006464A2" w:rsidRPr="0080343B">
        <w:rPr>
          <w:rFonts w:asciiTheme="majorHAnsi" w:hAnsiTheme="majorHAnsi"/>
        </w:rPr>
        <w:t xml:space="preserve">. </w:t>
      </w:r>
    </w:p>
    <w:p w:rsidR="00AA76A8" w:rsidRPr="003D6B85" w:rsidRDefault="00AA76A8" w:rsidP="001931CC">
      <w:pPr>
        <w:tabs>
          <w:tab w:val="left" w:pos="8520"/>
        </w:tabs>
        <w:spacing w:after="0" w:line="312" w:lineRule="auto"/>
        <w:rPr>
          <w:rFonts w:asciiTheme="majorHAnsi" w:hAnsiTheme="majorHAnsi" w:cs="Arial"/>
          <w:sz w:val="24"/>
          <w:szCs w:val="24"/>
        </w:rPr>
      </w:pPr>
    </w:p>
    <w:p w:rsidR="004B3218" w:rsidRPr="001931CC" w:rsidRDefault="00671E91" w:rsidP="001931CC">
      <w:pPr>
        <w:tabs>
          <w:tab w:val="left" w:pos="8520"/>
        </w:tabs>
        <w:spacing w:after="120" w:line="312" w:lineRule="auto"/>
        <w:rPr>
          <w:rFonts w:asciiTheme="majorHAnsi" w:hAnsiTheme="majorHAnsi" w:cs="Arial"/>
          <w:b/>
          <w:sz w:val="24"/>
          <w:szCs w:val="24"/>
          <w:lang w:val="en-US"/>
        </w:rPr>
      </w:pPr>
      <w:r>
        <w:rPr>
          <w:rFonts w:asciiTheme="majorHAnsi" w:hAnsiTheme="majorHAnsi" w:cs="Arial"/>
          <w:b/>
          <w:sz w:val="24"/>
          <w:szCs w:val="24"/>
          <w:lang w:val="en-US"/>
        </w:rPr>
        <w:t xml:space="preserve">MYTH 2: </w:t>
      </w:r>
      <w:r w:rsidR="004B3218" w:rsidRPr="001931CC">
        <w:rPr>
          <w:rFonts w:asciiTheme="majorHAnsi" w:hAnsiTheme="majorHAnsi" w:cs="Arial"/>
          <w:b/>
          <w:sz w:val="24"/>
          <w:szCs w:val="24"/>
          <w:lang w:val="en-US"/>
        </w:rPr>
        <w:t xml:space="preserve">Governments and consumers do not have </w:t>
      </w:r>
      <w:r w:rsidR="00AA76A8" w:rsidRPr="001931CC">
        <w:rPr>
          <w:rFonts w:asciiTheme="majorHAnsi" w:hAnsiTheme="majorHAnsi" w:cs="Arial"/>
          <w:b/>
          <w:sz w:val="24"/>
          <w:szCs w:val="24"/>
          <w:lang w:val="en-US"/>
        </w:rPr>
        <w:t xml:space="preserve">access to a </w:t>
      </w:r>
      <w:r w:rsidR="004B3218" w:rsidRPr="001931CC">
        <w:rPr>
          <w:rFonts w:asciiTheme="majorHAnsi" w:hAnsiTheme="majorHAnsi" w:cs="Arial"/>
          <w:b/>
          <w:sz w:val="24"/>
          <w:szCs w:val="24"/>
          <w:lang w:val="en-US"/>
        </w:rPr>
        <w:t xml:space="preserve">comparable </w:t>
      </w:r>
      <w:r w:rsidR="00AA76A8" w:rsidRPr="001931CC">
        <w:rPr>
          <w:rFonts w:asciiTheme="majorHAnsi" w:hAnsiTheme="majorHAnsi" w:cs="Arial"/>
          <w:b/>
          <w:sz w:val="24"/>
          <w:szCs w:val="24"/>
          <w:lang w:val="en-US"/>
        </w:rPr>
        <w:t>instrument to</w:t>
      </w:r>
      <w:r w:rsidR="004B3218" w:rsidRPr="001931CC">
        <w:rPr>
          <w:rFonts w:asciiTheme="majorHAnsi" w:hAnsiTheme="majorHAnsi" w:cs="Arial"/>
          <w:b/>
          <w:sz w:val="24"/>
          <w:szCs w:val="24"/>
          <w:lang w:val="en-US"/>
        </w:rPr>
        <w:t xml:space="preserve"> hold </w:t>
      </w:r>
      <w:r w:rsidR="00702110">
        <w:rPr>
          <w:rFonts w:asciiTheme="majorHAnsi" w:hAnsiTheme="majorHAnsi" w:cs="Arial"/>
          <w:b/>
          <w:sz w:val="24"/>
          <w:szCs w:val="24"/>
          <w:lang w:val="en-US"/>
        </w:rPr>
        <w:t xml:space="preserve">investors </w:t>
      </w:r>
      <w:r w:rsidR="004B3218" w:rsidRPr="001931CC">
        <w:rPr>
          <w:rFonts w:asciiTheme="majorHAnsi" w:hAnsiTheme="majorHAnsi" w:cs="Arial"/>
          <w:b/>
          <w:sz w:val="24"/>
          <w:szCs w:val="24"/>
          <w:lang w:val="en-US"/>
        </w:rPr>
        <w:t>to account</w:t>
      </w:r>
    </w:p>
    <w:p w:rsidR="00AA76A8" w:rsidRPr="0080343B" w:rsidRDefault="004B3218" w:rsidP="001931CC">
      <w:pPr>
        <w:tabs>
          <w:tab w:val="left" w:pos="8520"/>
        </w:tabs>
        <w:spacing w:after="0" w:line="312" w:lineRule="auto"/>
        <w:rPr>
          <w:rFonts w:asciiTheme="majorHAnsi" w:hAnsiTheme="majorHAnsi" w:cs="Arial"/>
          <w:lang w:val="en-US"/>
        </w:rPr>
      </w:pPr>
      <w:r w:rsidRPr="0080343B">
        <w:rPr>
          <w:rFonts w:asciiTheme="majorHAnsi" w:hAnsiTheme="majorHAnsi" w:cs="Arial"/>
          <w:lang w:val="en-US"/>
        </w:rPr>
        <w:t>I</w:t>
      </w:r>
      <w:r w:rsidR="00872DD9" w:rsidRPr="0080343B">
        <w:rPr>
          <w:rFonts w:asciiTheme="majorHAnsi" w:hAnsiTheme="majorHAnsi" w:cs="Arial"/>
          <w:lang w:val="en-US"/>
        </w:rPr>
        <w:t>n</w:t>
      </w:r>
      <w:r w:rsidR="002E6390" w:rsidRPr="0080343B">
        <w:rPr>
          <w:rFonts w:asciiTheme="majorHAnsi" w:hAnsiTheme="majorHAnsi" w:cs="Arial"/>
          <w:lang w:val="en-US"/>
        </w:rPr>
        <w:t>ternational in</w:t>
      </w:r>
      <w:r w:rsidR="0080343B" w:rsidRPr="0080343B">
        <w:rPr>
          <w:rFonts w:asciiTheme="majorHAnsi" w:hAnsiTheme="majorHAnsi" w:cs="Arial"/>
          <w:lang w:val="en-US"/>
        </w:rPr>
        <w:t>vestors are bound to high standards of</w:t>
      </w:r>
      <w:r w:rsidR="00872DD9" w:rsidRPr="0080343B">
        <w:rPr>
          <w:rFonts w:asciiTheme="majorHAnsi" w:hAnsiTheme="majorHAnsi" w:cs="Arial"/>
          <w:lang w:val="en-US"/>
        </w:rPr>
        <w:t xml:space="preserve"> behavior </w:t>
      </w:r>
      <w:r w:rsidR="006D60B9" w:rsidRPr="0080343B">
        <w:rPr>
          <w:rFonts w:asciiTheme="majorHAnsi" w:hAnsiTheme="majorHAnsi" w:cs="Arial"/>
          <w:lang w:val="en-US"/>
        </w:rPr>
        <w:t>by a num</w:t>
      </w:r>
      <w:r w:rsidR="006464A2" w:rsidRPr="0080343B">
        <w:rPr>
          <w:rFonts w:asciiTheme="majorHAnsi" w:hAnsiTheme="majorHAnsi" w:cs="Arial"/>
          <w:lang w:val="en-US"/>
        </w:rPr>
        <w:t>ber o</w:t>
      </w:r>
      <w:r w:rsidR="002E6390" w:rsidRPr="0080343B">
        <w:rPr>
          <w:rFonts w:asciiTheme="majorHAnsi" w:hAnsiTheme="majorHAnsi" w:cs="Arial"/>
          <w:lang w:val="en-US"/>
        </w:rPr>
        <w:t>f standards and guidelines—both in the form of</w:t>
      </w:r>
      <w:r w:rsidR="00702110" w:rsidRPr="0080343B">
        <w:rPr>
          <w:rFonts w:asciiTheme="majorHAnsi" w:hAnsiTheme="majorHAnsi" w:cs="Arial"/>
          <w:lang w:val="en-US"/>
        </w:rPr>
        <w:t xml:space="preserve"> local laws and regulations and international frameworks such as</w:t>
      </w:r>
      <w:r w:rsidR="006464A2" w:rsidRPr="0080343B">
        <w:rPr>
          <w:rFonts w:asciiTheme="majorHAnsi" w:hAnsiTheme="majorHAnsi" w:cs="Arial"/>
          <w:lang w:val="en-US"/>
        </w:rPr>
        <w:t xml:space="preserve"> the OECD Guidelines for </w:t>
      </w:r>
      <w:r w:rsidR="00702110" w:rsidRPr="0080343B">
        <w:rPr>
          <w:rFonts w:asciiTheme="majorHAnsi" w:hAnsiTheme="majorHAnsi" w:cs="Arial"/>
          <w:lang w:val="en-US"/>
        </w:rPr>
        <w:t>Multinatio</w:t>
      </w:r>
      <w:r w:rsidR="00791A3C" w:rsidRPr="0080343B">
        <w:rPr>
          <w:rFonts w:asciiTheme="majorHAnsi" w:hAnsiTheme="majorHAnsi" w:cs="Arial"/>
          <w:lang w:val="en-US"/>
        </w:rPr>
        <w:t xml:space="preserve">nal Enterprises. These </w:t>
      </w:r>
      <w:r w:rsidRPr="0080343B">
        <w:rPr>
          <w:rFonts w:asciiTheme="majorHAnsi" w:hAnsiTheme="majorHAnsi" w:cs="Arial"/>
          <w:lang w:val="en-US"/>
        </w:rPr>
        <w:t xml:space="preserve">provide </w:t>
      </w:r>
      <w:r w:rsidR="006D60B9" w:rsidRPr="0080343B">
        <w:rPr>
          <w:rFonts w:asciiTheme="majorHAnsi" w:hAnsiTheme="majorHAnsi" w:cs="Arial"/>
          <w:lang w:val="en-US"/>
        </w:rPr>
        <w:t>governments and consumers</w:t>
      </w:r>
      <w:r w:rsidR="005E6A5D" w:rsidRPr="0080343B">
        <w:rPr>
          <w:rFonts w:asciiTheme="majorHAnsi" w:hAnsiTheme="majorHAnsi" w:cs="Arial"/>
          <w:lang w:val="en-US"/>
        </w:rPr>
        <w:t xml:space="preserve"> with a range of </w:t>
      </w:r>
      <w:r w:rsidR="00791A3C" w:rsidRPr="0080343B">
        <w:rPr>
          <w:rFonts w:asciiTheme="majorHAnsi" w:hAnsiTheme="majorHAnsi" w:cs="Arial"/>
          <w:lang w:val="en-US"/>
        </w:rPr>
        <w:t xml:space="preserve">channels </w:t>
      </w:r>
      <w:r w:rsidR="00702110" w:rsidRPr="0080343B">
        <w:rPr>
          <w:rFonts w:asciiTheme="majorHAnsi" w:hAnsiTheme="majorHAnsi" w:cs="Arial"/>
          <w:lang w:val="en-US"/>
        </w:rPr>
        <w:t xml:space="preserve">to </w:t>
      </w:r>
      <w:r w:rsidR="006464A2" w:rsidRPr="0080343B">
        <w:rPr>
          <w:rFonts w:asciiTheme="majorHAnsi" w:hAnsiTheme="majorHAnsi" w:cs="Arial"/>
          <w:lang w:val="en-US"/>
        </w:rPr>
        <w:t>hold investors</w:t>
      </w:r>
      <w:r w:rsidRPr="0080343B">
        <w:rPr>
          <w:rFonts w:asciiTheme="majorHAnsi" w:hAnsiTheme="majorHAnsi" w:cs="Arial"/>
          <w:lang w:val="en-US"/>
        </w:rPr>
        <w:t xml:space="preserve"> to account if they do not </w:t>
      </w:r>
      <w:r w:rsidR="00702110" w:rsidRPr="0080343B">
        <w:rPr>
          <w:rFonts w:asciiTheme="majorHAnsi" w:hAnsiTheme="majorHAnsi" w:cs="Arial"/>
          <w:lang w:val="en-US"/>
        </w:rPr>
        <w:t>adhere to established standards—for instance in relation to the</w:t>
      </w:r>
      <w:r w:rsidR="005E6A5D" w:rsidRPr="0080343B">
        <w:rPr>
          <w:rFonts w:asciiTheme="majorHAnsi" w:hAnsiTheme="majorHAnsi" w:cs="Arial"/>
          <w:lang w:val="en-US"/>
        </w:rPr>
        <w:t>ir</w:t>
      </w:r>
      <w:r w:rsidR="00702110" w:rsidRPr="0080343B">
        <w:rPr>
          <w:rFonts w:asciiTheme="majorHAnsi" w:hAnsiTheme="majorHAnsi" w:cs="Arial"/>
          <w:lang w:val="en-US"/>
        </w:rPr>
        <w:t xml:space="preserve"> social and environmental performance</w:t>
      </w:r>
      <w:r w:rsidR="00AA76A8" w:rsidRPr="0080343B">
        <w:rPr>
          <w:rFonts w:asciiTheme="majorHAnsi" w:hAnsiTheme="majorHAnsi" w:cs="Arial"/>
          <w:lang w:val="en-US"/>
        </w:rPr>
        <w:t>.</w:t>
      </w:r>
    </w:p>
    <w:p w:rsidR="00872DD9" w:rsidRPr="0080343B" w:rsidRDefault="00872DD9" w:rsidP="001931CC">
      <w:pPr>
        <w:tabs>
          <w:tab w:val="left" w:pos="8520"/>
        </w:tabs>
        <w:spacing w:after="0" w:line="312" w:lineRule="auto"/>
        <w:rPr>
          <w:rFonts w:asciiTheme="majorHAnsi" w:hAnsiTheme="majorHAnsi" w:cs="Arial"/>
          <w:lang w:val="en-US"/>
        </w:rPr>
      </w:pPr>
    </w:p>
    <w:p w:rsidR="00212355" w:rsidRPr="00F05274" w:rsidRDefault="00671E91" w:rsidP="001931CC">
      <w:pPr>
        <w:tabs>
          <w:tab w:val="left" w:pos="8520"/>
        </w:tabs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F05274">
        <w:rPr>
          <w:rFonts w:asciiTheme="majorHAnsi" w:hAnsiTheme="majorHAnsi"/>
          <w:b/>
          <w:sz w:val="24"/>
          <w:szCs w:val="24"/>
          <w:lang w:val="en-US"/>
        </w:rPr>
        <w:t xml:space="preserve">MYTH 3: </w:t>
      </w:r>
      <w:r w:rsidR="00DA484F" w:rsidRPr="00F05274">
        <w:rPr>
          <w:rFonts w:asciiTheme="majorHAnsi" w:hAnsiTheme="majorHAnsi"/>
          <w:b/>
          <w:sz w:val="24"/>
          <w:szCs w:val="24"/>
        </w:rPr>
        <w:t xml:space="preserve">ISDS is </w:t>
      </w:r>
      <w:r w:rsidRPr="00F05274">
        <w:rPr>
          <w:rFonts w:asciiTheme="majorHAnsi" w:hAnsiTheme="majorHAnsi"/>
          <w:b/>
          <w:sz w:val="24"/>
          <w:szCs w:val="24"/>
        </w:rPr>
        <w:t xml:space="preserve">only </w:t>
      </w:r>
      <w:r w:rsidR="0080343B" w:rsidRPr="00F05274">
        <w:rPr>
          <w:rFonts w:asciiTheme="majorHAnsi" w:hAnsiTheme="majorHAnsi"/>
          <w:b/>
          <w:sz w:val="24"/>
          <w:szCs w:val="24"/>
        </w:rPr>
        <w:t xml:space="preserve">used </w:t>
      </w:r>
      <w:r w:rsidRPr="00F05274">
        <w:rPr>
          <w:rFonts w:asciiTheme="majorHAnsi" w:hAnsiTheme="majorHAnsi"/>
          <w:b/>
          <w:sz w:val="24"/>
          <w:szCs w:val="24"/>
        </w:rPr>
        <w:t xml:space="preserve">by investors because it is a </w:t>
      </w:r>
      <w:r w:rsidR="00702110" w:rsidRPr="00F05274">
        <w:rPr>
          <w:rFonts w:asciiTheme="majorHAnsi" w:hAnsiTheme="majorHAnsi"/>
          <w:b/>
          <w:sz w:val="24"/>
          <w:szCs w:val="24"/>
        </w:rPr>
        <w:t>“</w:t>
      </w:r>
      <w:r w:rsidRPr="00F05274">
        <w:rPr>
          <w:rFonts w:asciiTheme="majorHAnsi" w:hAnsiTheme="majorHAnsi"/>
          <w:b/>
          <w:sz w:val="24"/>
          <w:szCs w:val="24"/>
        </w:rPr>
        <w:t>secretive</w:t>
      </w:r>
      <w:r w:rsidR="00702110" w:rsidRPr="00F05274">
        <w:rPr>
          <w:rFonts w:asciiTheme="majorHAnsi" w:hAnsiTheme="majorHAnsi"/>
          <w:b/>
          <w:sz w:val="24"/>
          <w:szCs w:val="24"/>
        </w:rPr>
        <w:t>”</w:t>
      </w:r>
      <w:r w:rsidRPr="00F05274">
        <w:rPr>
          <w:rFonts w:asciiTheme="majorHAnsi" w:hAnsiTheme="majorHAnsi"/>
          <w:b/>
          <w:sz w:val="24"/>
          <w:szCs w:val="24"/>
        </w:rPr>
        <w:t xml:space="preserve"> process</w:t>
      </w:r>
    </w:p>
    <w:p w:rsidR="00AD0483" w:rsidRDefault="0080343B" w:rsidP="00F05274">
      <w:pPr>
        <w:tabs>
          <w:tab w:val="left" w:pos="8520"/>
        </w:tabs>
        <w:spacing w:after="120" w:line="312" w:lineRule="auto"/>
        <w:rPr>
          <w:rFonts w:asciiTheme="majorHAnsi" w:hAnsiTheme="majorHAnsi"/>
        </w:rPr>
      </w:pPr>
      <w:r w:rsidRPr="0080343B">
        <w:rPr>
          <w:rFonts w:asciiTheme="majorHAnsi" w:hAnsiTheme="majorHAnsi"/>
        </w:rPr>
        <w:t>ISDS is used in relatively rare—but highly serious—</w:t>
      </w:r>
      <w:r w:rsidR="00135599">
        <w:rPr>
          <w:rFonts w:asciiTheme="majorHAnsi" w:hAnsiTheme="majorHAnsi"/>
        </w:rPr>
        <w:t>situations.</w:t>
      </w:r>
      <w:r w:rsidR="00AD0483">
        <w:rPr>
          <w:rFonts w:asciiTheme="majorHAnsi" w:hAnsiTheme="majorHAnsi"/>
        </w:rPr>
        <w:t xml:space="preserve"> </w:t>
      </w:r>
      <w:r w:rsidR="00E35ADA">
        <w:rPr>
          <w:rFonts w:asciiTheme="majorHAnsi" w:hAnsiTheme="majorHAnsi"/>
        </w:rPr>
        <w:t>When investors do seek to bring a claim, however, there are a variety of reasons why internationa</w:t>
      </w:r>
      <w:r w:rsidR="00135599">
        <w:rPr>
          <w:rFonts w:asciiTheme="majorHAnsi" w:hAnsiTheme="majorHAnsi"/>
        </w:rPr>
        <w:t xml:space="preserve">l arbitration panels may be </w:t>
      </w:r>
      <w:r w:rsidR="00F05274">
        <w:rPr>
          <w:rFonts w:asciiTheme="majorHAnsi" w:hAnsiTheme="majorHAnsi"/>
        </w:rPr>
        <w:t xml:space="preserve">seen as </w:t>
      </w:r>
      <w:r w:rsidR="00E35ADA">
        <w:rPr>
          <w:rFonts w:asciiTheme="majorHAnsi" w:hAnsiTheme="majorHAnsi"/>
        </w:rPr>
        <w:t xml:space="preserve">preferable to local court actions. </w:t>
      </w:r>
    </w:p>
    <w:p w:rsidR="00AD0483" w:rsidRDefault="00AD0483" w:rsidP="00F05274">
      <w:pPr>
        <w:tabs>
          <w:tab w:val="left" w:pos="8520"/>
        </w:tabs>
        <w:spacing w:after="12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Two of the key advantages of international arbitration are: </w:t>
      </w:r>
    </w:p>
    <w:p w:rsidR="00AD0483" w:rsidRDefault="00AD0483" w:rsidP="00F05274">
      <w:pPr>
        <w:pStyle w:val="ListParagraph"/>
        <w:numPr>
          <w:ilvl w:val="0"/>
          <w:numId w:val="8"/>
        </w:numPr>
        <w:tabs>
          <w:tab w:val="left" w:pos="8520"/>
        </w:tabs>
        <w:spacing w:after="120" w:line="312" w:lineRule="auto"/>
        <w:rPr>
          <w:rFonts w:asciiTheme="majorHAnsi" w:hAnsiTheme="majorHAnsi"/>
        </w:rPr>
      </w:pPr>
      <w:r w:rsidRPr="00AD0483">
        <w:rPr>
          <w:rFonts w:asciiTheme="majorHAnsi" w:hAnsiTheme="majorHAnsi"/>
          <w:b/>
        </w:rPr>
        <w:t>E</w:t>
      </w:r>
      <w:r w:rsidR="00AA76A8" w:rsidRPr="00AD0483">
        <w:rPr>
          <w:rFonts w:asciiTheme="majorHAnsi" w:hAnsiTheme="majorHAnsi"/>
          <w:b/>
        </w:rPr>
        <w:t>nforceability</w:t>
      </w:r>
      <w:r>
        <w:rPr>
          <w:rFonts w:asciiTheme="majorHAnsi" w:hAnsiTheme="majorHAnsi"/>
        </w:rPr>
        <w:t>:</w:t>
      </w:r>
      <w:r w:rsidR="00AA76A8" w:rsidRPr="00AD048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</w:t>
      </w:r>
      <w:r w:rsidR="00F05274" w:rsidRPr="00AD0483">
        <w:rPr>
          <w:rFonts w:asciiTheme="majorHAnsi" w:hAnsiTheme="majorHAnsi"/>
        </w:rPr>
        <w:t>ompanies investing abroad may</w:t>
      </w:r>
      <w:r w:rsidR="001A7975" w:rsidRPr="00AD0483">
        <w:rPr>
          <w:rFonts w:asciiTheme="majorHAnsi" w:hAnsiTheme="majorHAnsi"/>
        </w:rPr>
        <w:t xml:space="preserve"> be faced wi</w:t>
      </w:r>
      <w:r w:rsidR="00F05274" w:rsidRPr="00AD0483">
        <w:rPr>
          <w:rFonts w:asciiTheme="majorHAnsi" w:hAnsiTheme="majorHAnsi"/>
        </w:rPr>
        <w:t xml:space="preserve">th problems which cannot </w:t>
      </w:r>
      <w:r w:rsidR="001A7975" w:rsidRPr="00AD0483">
        <w:rPr>
          <w:rFonts w:asciiTheme="majorHAnsi" w:hAnsiTheme="majorHAnsi"/>
        </w:rPr>
        <w:t>be solved through the domestic legal system</w:t>
      </w:r>
      <w:r w:rsidR="00F05274" w:rsidRPr="00AD0483">
        <w:rPr>
          <w:rFonts w:asciiTheme="majorHAnsi" w:hAnsiTheme="majorHAnsi"/>
        </w:rPr>
        <w:t>,</w:t>
      </w:r>
      <w:r w:rsidR="001A7975" w:rsidRPr="00AD0483">
        <w:rPr>
          <w:rFonts w:asciiTheme="majorHAnsi" w:hAnsiTheme="majorHAnsi"/>
        </w:rPr>
        <w:t xml:space="preserve"> </w:t>
      </w:r>
      <w:r w:rsidR="001A7975" w:rsidRPr="00AD0483">
        <w:rPr>
          <w:rFonts w:asciiTheme="majorHAnsi" w:hAnsiTheme="majorHAnsi" w:cs="Arial"/>
        </w:rPr>
        <w:t xml:space="preserve">because in many countries investment agreements are not </w:t>
      </w:r>
      <w:r w:rsidR="00F05274" w:rsidRPr="00AD0483">
        <w:rPr>
          <w:rFonts w:asciiTheme="majorHAnsi" w:hAnsiTheme="majorHAnsi" w:cs="Arial"/>
        </w:rPr>
        <w:t>directly enforceable in local</w:t>
      </w:r>
      <w:r w:rsidR="001A7975" w:rsidRPr="00AD0483">
        <w:rPr>
          <w:rFonts w:asciiTheme="majorHAnsi" w:hAnsiTheme="majorHAnsi" w:cs="Arial"/>
        </w:rPr>
        <w:t xml:space="preserve"> courts</w:t>
      </w:r>
      <w:r w:rsidR="001A7975" w:rsidRPr="00AD0483">
        <w:rPr>
          <w:rFonts w:asciiTheme="majorHAnsi" w:hAnsiTheme="majorHAnsi"/>
        </w:rPr>
        <w:t>.</w:t>
      </w:r>
      <w:r w:rsidR="00F05274" w:rsidRPr="00AD0483">
        <w:rPr>
          <w:rFonts w:asciiTheme="majorHAnsi" w:hAnsiTheme="majorHAnsi"/>
        </w:rPr>
        <w:t xml:space="preserve"> This means that international arbitration is often the only means to obtain redress</w:t>
      </w:r>
      <w:r>
        <w:rPr>
          <w:rFonts w:asciiTheme="majorHAnsi" w:hAnsiTheme="majorHAnsi"/>
        </w:rPr>
        <w:t xml:space="preserve"> when an alleged breach of an investment agreement occurs</w:t>
      </w:r>
      <w:r w:rsidR="00F05274" w:rsidRPr="00AD0483">
        <w:rPr>
          <w:rFonts w:asciiTheme="majorHAnsi" w:hAnsiTheme="majorHAnsi"/>
        </w:rPr>
        <w:t xml:space="preserve">. </w:t>
      </w:r>
    </w:p>
    <w:p w:rsidR="00AD0483" w:rsidRDefault="00AD0483" w:rsidP="00AD0483">
      <w:pPr>
        <w:pStyle w:val="ListParagraph"/>
        <w:tabs>
          <w:tab w:val="left" w:pos="8520"/>
        </w:tabs>
        <w:spacing w:after="120" w:line="120" w:lineRule="auto"/>
        <w:rPr>
          <w:rFonts w:asciiTheme="majorHAnsi" w:hAnsiTheme="majorHAnsi"/>
        </w:rPr>
      </w:pPr>
    </w:p>
    <w:p w:rsidR="00F05274" w:rsidRPr="00AD0483" w:rsidRDefault="00AD0483" w:rsidP="00F05274">
      <w:pPr>
        <w:pStyle w:val="ListParagraph"/>
        <w:numPr>
          <w:ilvl w:val="0"/>
          <w:numId w:val="8"/>
        </w:numPr>
        <w:tabs>
          <w:tab w:val="left" w:pos="8520"/>
        </w:tabs>
        <w:spacing w:after="120" w:line="312" w:lineRule="auto"/>
        <w:rPr>
          <w:rFonts w:asciiTheme="majorHAnsi" w:hAnsiTheme="majorHAnsi"/>
        </w:rPr>
      </w:pPr>
      <w:r w:rsidRPr="00AD0483">
        <w:rPr>
          <w:rFonts w:asciiTheme="majorHAnsi" w:hAnsiTheme="majorHAnsi" w:cs="Arial"/>
          <w:b/>
          <w:lang w:val="en-US"/>
        </w:rPr>
        <w:t>Neutrality</w:t>
      </w:r>
      <w:r>
        <w:rPr>
          <w:rFonts w:asciiTheme="majorHAnsi" w:hAnsiTheme="majorHAnsi" w:cs="Arial"/>
          <w:lang w:val="en-US"/>
        </w:rPr>
        <w:t xml:space="preserve">: </w:t>
      </w:r>
      <w:r w:rsidR="00C47D5B" w:rsidRPr="00AD0483">
        <w:rPr>
          <w:rFonts w:asciiTheme="majorHAnsi" w:hAnsiTheme="majorHAnsi" w:cs="Arial"/>
          <w:lang w:val="en-US"/>
        </w:rPr>
        <w:t>investors may be reluctant to bring claims in local courts due to perceptions of</w:t>
      </w:r>
      <w:r w:rsidR="00F05274" w:rsidRPr="00AD0483">
        <w:rPr>
          <w:rFonts w:asciiTheme="majorHAnsi" w:hAnsiTheme="majorHAnsi" w:cs="Arial"/>
          <w:lang w:val="en-US"/>
        </w:rPr>
        <w:t xml:space="preserve"> bias or </w:t>
      </w:r>
      <w:r>
        <w:rPr>
          <w:rFonts w:asciiTheme="majorHAnsi" w:hAnsiTheme="majorHAnsi" w:cs="Arial"/>
          <w:lang w:val="en-US"/>
        </w:rPr>
        <w:t xml:space="preserve">a </w:t>
      </w:r>
      <w:r w:rsidR="00F05274" w:rsidRPr="00AD0483">
        <w:rPr>
          <w:rFonts w:asciiTheme="majorHAnsi" w:hAnsiTheme="majorHAnsi" w:cs="Arial"/>
          <w:lang w:val="en-US"/>
        </w:rPr>
        <w:t xml:space="preserve">lack of </w:t>
      </w:r>
      <w:r>
        <w:rPr>
          <w:rFonts w:asciiTheme="majorHAnsi" w:hAnsiTheme="majorHAnsi" w:cs="Arial"/>
          <w:lang w:val="en-US"/>
        </w:rPr>
        <w:t xml:space="preserve">judicial </w:t>
      </w:r>
      <w:r w:rsidR="00F05274" w:rsidRPr="00AD0483">
        <w:rPr>
          <w:rFonts w:asciiTheme="majorHAnsi" w:hAnsiTheme="majorHAnsi" w:cs="Arial"/>
          <w:lang w:val="en-US"/>
        </w:rPr>
        <w:t xml:space="preserve">independence. </w:t>
      </w:r>
      <w:r w:rsidR="00C47D5B" w:rsidRPr="00AD0483">
        <w:rPr>
          <w:rFonts w:asciiTheme="majorHAnsi" w:hAnsiTheme="majorHAnsi" w:cs="Arial"/>
          <w:lang w:val="en-US"/>
        </w:rPr>
        <w:t>Including ISDS provisions removes this</w:t>
      </w:r>
      <w:r>
        <w:rPr>
          <w:rFonts w:asciiTheme="majorHAnsi" w:hAnsiTheme="majorHAnsi" w:cs="Arial"/>
          <w:lang w:val="en-US"/>
        </w:rPr>
        <w:t xml:space="preserve"> inherent</w:t>
      </w:r>
      <w:r w:rsidR="00C47D5B" w:rsidRPr="00AD0483">
        <w:rPr>
          <w:rFonts w:asciiTheme="majorHAnsi" w:hAnsiTheme="majorHAnsi" w:cs="Arial"/>
          <w:lang w:val="en-US"/>
        </w:rPr>
        <w:t xml:space="preserve"> political risk and</w:t>
      </w:r>
      <w:r>
        <w:rPr>
          <w:rFonts w:asciiTheme="majorHAnsi" w:hAnsiTheme="majorHAnsi" w:cs="Arial"/>
          <w:lang w:val="en-US"/>
        </w:rPr>
        <w:t>, in doing so, promotes investor confidence (particularly in the context of large-scale or long-term investments)</w:t>
      </w:r>
      <w:r w:rsidR="00BA1B7C" w:rsidRPr="00AD0483">
        <w:rPr>
          <w:rFonts w:asciiTheme="majorHAnsi" w:hAnsiTheme="majorHAnsi" w:cs="Arial"/>
          <w:lang w:val="en-US"/>
        </w:rPr>
        <w:t>.</w:t>
      </w:r>
    </w:p>
    <w:p w:rsidR="00D55386" w:rsidRDefault="00AD0483" w:rsidP="00386DB7">
      <w:pPr>
        <w:tabs>
          <w:tab w:val="left" w:pos="8520"/>
        </w:tabs>
        <w:spacing w:after="0" w:line="312" w:lineRule="auto"/>
        <w:rPr>
          <w:rFonts w:asciiTheme="majorHAnsi" w:hAnsiTheme="majorHAnsi" w:cs="Arial"/>
          <w:lang w:val="en-US"/>
        </w:rPr>
      </w:pPr>
      <w:r w:rsidRPr="00386DB7">
        <w:rPr>
          <w:rFonts w:asciiTheme="majorHAnsi" w:hAnsiTheme="majorHAnsi" w:cs="Arial"/>
          <w:lang w:val="en-US"/>
        </w:rPr>
        <w:t>The confidential—or “secretive”—nature of arbitration has received significant attention in both trade and legal circles in recent years</w:t>
      </w:r>
      <w:r w:rsidR="00AA76A8" w:rsidRPr="00386DB7">
        <w:rPr>
          <w:rFonts w:asciiTheme="majorHAnsi" w:hAnsiTheme="majorHAnsi" w:cs="Arial"/>
          <w:lang w:val="en-US"/>
        </w:rPr>
        <w:t>.</w:t>
      </w:r>
      <w:r w:rsidR="00AA76A8" w:rsidRPr="0080343B">
        <w:rPr>
          <w:rFonts w:asciiTheme="majorHAnsi" w:hAnsiTheme="majorHAnsi" w:cs="Arial"/>
          <w:lang w:val="en-US"/>
        </w:rPr>
        <w:t xml:space="preserve"> </w:t>
      </w:r>
      <w:r>
        <w:rPr>
          <w:rFonts w:asciiTheme="majorHAnsi" w:hAnsiTheme="majorHAnsi" w:cs="Arial"/>
          <w:lang w:val="en-US"/>
        </w:rPr>
        <w:t xml:space="preserve">In this context, it is </w:t>
      </w:r>
      <w:r w:rsidR="00D55386">
        <w:rPr>
          <w:rFonts w:asciiTheme="majorHAnsi" w:hAnsiTheme="majorHAnsi" w:cs="Arial"/>
          <w:lang w:val="en-US"/>
        </w:rPr>
        <w:t xml:space="preserve">important to note that </w:t>
      </w:r>
      <w:r w:rsidR="00D55386">
        <w:rPr>
          <w:rFonts w:asciiTheme="majorHAnsi" w:hAnsiTheme="majorHAnsi" w:cs="Arial"/>
          <w:lang w:val="en-US"/>
        </w:rPr>
        <w:lastRenderedPageBreak/>
        <w:t xml:space="preserve">confidentiality is an important requirement in many business-related disputes due to the risks of disclosing </w:t>
      </w:r>
      <w:r w:rsidR="00BA1B7C" w:rsidRPr="0080343B">
        <w:rPr>
          <w:rFonts w:asciiTheme="majorHAnsi" w:hAnsiTheme="majorHAnsi" w:cs="Arial"/>
          <w:lang w:val="en-US"/>
        </w:rPr>
        <w:t xml:space="preserve">commercially sensitive information </w:t>
      </w:r>
      <w:r w:rsidR="00D55386">
        <w:rPr>
          <w:rFonts w:asciiTheme="majorHAnsi" w:hAnsiTheme="majorHAnsi" w:cs="Arial"/>
          <w:lang w:val="en-US"/>
        </w:rPr>
        <w:t>to competitors wit</w:t>
      </w:r>
      <w:r w:rsidR="00386DB7">
        <w:rPr>
          <w:rFonts w:asciiTheme="majorHAnsi" w:hAnsiTheme="majorHAnsi" w:cs="Arial"/>
          <w:lang w:val="en-US"/>
        </w:rPr>
        <w:t xml:space="preserve">hin the same market or sector. </w:t>
      </w:r>
      <w:r w:rsidR="00386DB7" w:rsidRPr="00386DB7">
        <w:rPr>
          <w:rFonts w:asciiTheme="majorHAnsi" w:hAnsiTheme="majorHAnsi" w:cs="Arial"/>
          <w:lang w:val="en-US"/>
        </w:rPr>
        <w:t>Confidentiality in commercial disputes is not a feature that is entirely unique to international arbitration: in some disputes, for instance, local courts may choose to restrict the disclosure of issues or documents</w:t>
      </w:r>
      <w:r w:rsidR="00D55386" w:rsidRPr="00386DB7">
        <w:rPr>
          <w:rFonts w:asciiTheme="majorHAnsi" w:hAnsiTheme="majorHAnsi" w:cs="Arial"/>
          <w:lang w:val="en-US"/>
        </w:rPr>
        <w:t>.</w:t>
      </w:r>
    </w:p>
    <w:p w:rsidR="00F35C0B" w:rsidRPr="001931CC" w:rsidRDefault="00F35C0B" w:rsidP="001931CC">
      <w:pPr>
        <w:tabs>
          <w:tab w:val="left" w:pos="8520"/>
        </w:tabs>
        <w:spacing w:after="0" w:line="312" w:lineRule="auto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BA1B7C" w:rsidRPr="001931CC" w:rsidRDefault="00671E91" w:rsidP="001931CC">
      <w:pPr>
        <w:tabs>
          <w:tab w:val="left" w:pos="8520"/>
        </w:tabs>
        <w:spacing w:after="60" w:line="312" w:lineRule="auto"/>
        <w:rPr>
          <w:rFonts w:asciiTheme="majorHAnsi" w:hAnsiTheme="majorHAnsi" w:cs="Arial"/>
          <w:b/>
          <w:sz w:val="24"/>
          <w:szCs w:val="24"/>
          <w:lang w:val="en-US"/>
        </w:rPr>
      </w:pPr>
      <w:r>
        <w:rPr>
          <w:rFonts w:asciiTheme="majorHAnsi" w:hAnsiTheme="majorHAnsi" w:cs="Arial"/>
          <w:b/>
          <w:sz w:val="24"/>
          <w:szCs w:val="24"/>
          <w:lang w:val="en-US"/>
        </w:rPr>
        <w:t xml:space="preserve">MYTH 4: </w:t>
      </w:r>
      <w:r w:rsidR="00386DB7">
        <w:rPr>
          <w:rFonts w:asciiTheme="majorHAnsi" w:hAnsiTheme="majorHAnsi" w:cs="Arial"/>
          <w:b/>
          <w:sz w:val="24"/>
          <w:szCs w:val="24"/>
          <w:lang w:val="en-US"/>
        </w:rPr>
        <w:t>ISDS panels are</w:t>
      </w:r>
      <w:r w:rsidR="00A47109" w:rsidRPr="001931CC">
        <w:rPr>
          <w:rFonts w:asciiTheme="majorHAnsi" w:hAnsiTheme="majorHAnsi" w:cs="Arial"/>
          <w:b/>
          <w:sz w:val="24"/>
          <w:szCs w:val="24"/>
          <w:lang w:val="en-US"/>
        </w:rPr>
        <w:t xml:space="preserve"> more likel</w:t>
      </w:r>
      <w:r>
        <w:rPr>
          <w:rFonts w:asciiTheme="majorHAnsi" w:hAnsiTheme="majorHAnsi" w:cs="Arial"/>
          <w:b/>
          <w:sz w:val="24"/>
          <w:szCs w:val="24"/>
          <w:lang w:val="en-US"/>
        </w:rPr>
        <w:t xml:space="preserve">y to rule in </w:t>
      </w:r>
      <w:proofErr w:type="spellStart"/>
      <w:r>
        <w:rPr>
          <w:rFonts w:asciiTheme="majorHAnsi" w:hAnsiTheme="majorHAnsi" w:cs="Arial"/>
          <w:b/>
          <w:sz w:val="24"/>
          <w:szCs w:val="24"/>
          <w:lang w:val="en-US"/>
        </w:rPr>
        <w:t>favour</w:t>
      </w:r>
      <w:proofErr w:type="spellEnd"/>
      <w:r>
        <w:rPr>
          <w:rFonts w:asciiTheme="majorHAnsi" w:hAnsiTheme="majorHAnsi" w:cs="Arial"/>
          <w:b/>
          <w:sz w:val="24"/>
          <w:szCs w:val="24"/>
          <w:lang w:val="en-US"/>
        </w:rPr>
        <w:t xml:space="preserve"> of investors than Governments</w:t>
      </w:r>
    </w:p>
    <w:p w:rsidR="008D3407" w:rsidRPr="00FB5411" w:rsidRDefault="00386DB7" w:rsidP="001931CC">
      <w:pPr>
        <w:tabs>
          <w:tab w:val="left" w:pos="8520"/>
        </w:tabs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Statics available indicate that [</w:t>
      </w:r>
      <w:r w:rsidR="009B3753">
        <w:rPr>
          <w:rFonts w:asciiTheme="majorHAnsi" w:hAnsiTheme="majorHAnsi" w:cs="Arial"/>
          <w:color w:val="000000"/>
        </w:rPr>
        <w:t>a large proportion of ISDS panels find in favour of host states</w:t>
      </w:r>
      <w:r>
        <w:rPr>
          <w:rFonts w:asciiTheme="majorHAnsi" w:hAnsiTheme="majorHAnsi" w:cs="Arial"/>
          <w:color w:val="000000"/>
        </w:rPr>
        <w:t>. According to the UN</w:t>
      </w:r>
      <w:r w:rsidR="009B3753">
        <w:rPr>
          <w:rFonts w:asciiTheme="majorHAnsi" w:hAnsiTheme="majorHAnsi" w:cs="Arial"/>
          <w:color w:val="000000"/>
        </w:rPr>
        <w:t>, of</w:t>
      </w:r>
      <w:r w:rsidR="008D3407" w:rsidRPr="00FB5411">
        <w:rPr>
          <w:rFonts w:asciiTheme="majorHAnsi" w:hAnsiTheme="majorHAnsi" w:cs="Arial"/>
          <w:color w:val="000000"/>
        </w:rPr>
        <w:t xml:space="preserve"> the 244 concluded BIT cases known by the end of 2012, 42% of the decisions were in favour of the host state; 31% of decisions were issued in favour of the investor and approximately 27% were settled.</w:t>
      </w:r>
    </w:p>
    <w:p w:rsidR="00F35C0B" w:rsidRPr="001931CC" w:rsidRDefault="00F35C0B" w:rsidP="001931CC">
      <w:pPr>
        <w:tabs>
          <w:tab w:val="left" w:pos="8520"/>
        </w:tabs>
        <w:spacing w:after="0" w:line="312" w:lineRule="auto"/>
        <w:rPr>
          <w:rFonts w:asciiTheme="majorHAnsi" w:hAnsiTheme="majorHAnsi" w:cs="Arial"/>
          <w:sz w:val="24"/>
          <w:szCs w:val="24"/>
        </w:rPr>
      </w:pPr>
    </w:p>
    <w:p w:rsidR="00A47109" w:rsidRPr="001931CC" w:rsidRDefault="00671E91" w:rsidP="001931CC">
      <w:pPr>
        <w:tabs>
          <w:tab w:val="left" w:pos="8520"/>
        </w:tabs>
        <w:spacing w:after="60" w:line="312" w:lineRule="auto"/>
        <w:rPr>
          <w:rFonts w:asciiTheme="majorHAnsi" w:hAnsiTheme="majorHAnsi" w:cs="Arial"/>
          <w:b/>
          <w:sz w:val="24"/>
          <w:szCs w:val="24"/>
          <w:lang w:val="en-US"/>
        </w:rPr>
      </w:pPr>
      <w:r>
        <w:rPr>
          <w:rFonts w:asciiTheme="majorHAnsi" w:hAnsiTheme="majorHAnsi" w:cs="Arial"/>
          <w:b/>
          <w:sz w:val="24"/>
          <w:szCs w:val="24"/>
          <w:lang w:val="en-US"/>
        </w:rPr>
        <w:t xml:space="preserve">MYTH 5: </w:t>
      </w:r>
      <w:r w:rsidR="00791A3C">
        <w:rPr>
          <w:rFonts w:asciiTheme="majorHAnsi" w:hAnsiTheme="majorHAnsi" w:cs="Arial"/>
          <w:b/>
          <w:sz w:val="24"/>
          <w:szCs w:val="24"/>
          <w:lang w:val="en-US"/>
        </w:rPr>
        <w:t>ISDS is only</w:t>
      </w:r>
      <w:r w:rsidR="00A47109" w:rsidRPr="001931CC">
        <w:rPr>
          <w:rFonts w:asciiTheme="majorHAnsi" w:hAnsiTheme="majorHAnsi" w:cs="Arial"/>
          <w:b/>
          <w:sz w:val="24"/>
          <w:szCs w:val="24"/>
          <w:lang w:val="en-US"/>
        </w:rPr>
        <w:t xml:space="preserve"> used by US investor</w:t>
      </w:r>
      <w:r>
        <w:rPr>
          <w:rFonts w:asciiTheme="majorHAnsi" w:hAnsiTheme="majorHAnsi" w:cs="Arial"/>
          <w:b/>
          <w:sz w:val="24"/>
          <w:szCs w:val="24"/>
          <w:lang w:val="en-US"/>
        </w:rPr>
        <w:t>s</w:t>
      </w:r>
    </w:p>
    <w:p w:rsidR="009B3753" w:rsidRDefault="00791A3C" w:rsidP="009B3753">
      <w:pPr>
        <w:tabs>
          <w:tab w:val="left" w:pos="8520"/>
        </w:tabs>
        <w:spacing w:after="120" w:line="312" w:lineRule="auto"/>
        <w:rPr>
          <w:rFonts w:asciiTheme="majorHAnsi" w:hAnsiTheme="majorHAnsi" w:cs="Arial"/>
          <w:lang w:val="en-US"/>
        </w:rPr>
      </w:pPr>
      <w:r w:rsidRPr="00FB5411">
        <w:rPr>
          <w:rFonts w:asciiTheme="majorHAnsi" w:hAnsiTheme="majorHAnsi" w:cs="Arial"/>
          <w:lang w:val="en-US"/>
        </w:rPr>
        <w:t>Contrary to popular perception</w:t>
      </w:r>
      <w:r w:rsidR="008D3407" w:rsidRPr="00FB5411">
        <w:rPr>
          <w:rFonts w:asciiTheme="majorHAnsi" w:hAnsiTheme="majorHAnsi" w:cs="Arial"/>
          <w:lang w:val="en-US"/>
        </w:rPr>
        <w:t>, EU investors have been amongst the biggest users of the dispute settlement procedures</w:t>
      </w:r>
      <w:r w:rsidR="00DC66A6" w:rsidRPr="00FB5411">
        <w:rPr>
          <w:rFonts w:asciiTheme="majorHAnsi" w:hAnsiTheme="majorHAnsi" w:cs="Arial"/>
          <w:lang w:val="en-US"/>
        </w:rPr>
        <w:t>,</w:t>
      </w:r>
      <w:r w:rsidR="008D3407" w:rsidRPr="00FB5411">
        <w:rPr>
          <w:rFonts w:asciiTheme="majorHAnsi" w:hAnsiTheme="majorHAnsi" w:cs="Arial"/>
          <w:lang w:val="en-US"/>
        </w:rPr>
        <w:t xml:space="preserve"> and account for </w:t>
      </w:r>
      <w:r w:rsidRPr="00FB5411">
        <w:rPr>
          <w:rFonts w:asciiTheme="majorHAnsi" w:hAnsiTheme="majorHAnsi" w:cs="Arial"/>
          <w:lang w:val="en-US"/>
        </w:rPr>
        <w:t xml:space="preserve">a growing number of cases. </w:t>
      </w:r>
      <w:r w:rsidR="009B3753">
        <w:rPr>
          <w:rFonts w:asciiTheme="majorHAnsi" w:hAnsiTheme="majorHAnsi" w:cs="Arial"/>
          <w:lang w:val="en-US"/>
        </w:rPr>
        <w:t>O</w:t>
      </w:r>
      <w:r w:rsidR="008D3407" w:rsidRPr="00FB5411">
        <w:rPr>
          <w:rFonts w:asciiTheme="majorHAnsi" w:hAnsiTheme="majorHAnsi" w:cs="Arial"/>
          <w:lang w:val="en-US"/>
        </w:rPr>
        <w:t>f the 214 (known) ISDS cases registered worldwide for the period 2008-2012, EU investors accounted for 53 % of the cases (113 cases) with investors from the Netherlands, Germany and the Unit</w:t>
      </w:r>
      <w:r w:rsidRPr="00FB5411">
        <w:rPr>
          <w:rFonts w:asciiTheme="majorHAnsi" w:hAnsiTheme="majorHAnsi" w:cs="Arial"/>
          <w:lang w:val="en-US"/>
        </w:rPr>
        <w:t xml:space="preserve">ed Kingdom </w:t>
      </w:r>
      <w:r w:rsidR="008D3407" w:rsidRPr="00FB5411">
        <w:rPr>
          <w:rFonts w:asciiTheme="majorHAnsi" w:hAnsiTheme="majorHAnsi" w:cs="Arial"/>
          <w:lang w:val="en-US"/>
        </w:rPr>
        <w:t xml:space="preserve">the main users. </w:t>
      </w:r>
    </w:p>
    <w:p w:rsidR="00BD2296" w:rsidRPr="009B3753" w:rsidRDefault="008D3407" w:rsidP="009B3753">
      <w:pPr>
        <w:tabs>
          <w:tab w:val="left" w:pos="8520"/>
        </w:tabs>
        <w:spacing w:after="0" w:line="312" w:lineRule="auto"/>
        <w:rPr>
          <w:rFonts w:asciiTheme="majorHAnsi" w:hAnsiTheme="majorHAnsi" w:cs="Arial"/>
          <w:lang w:val="en-US"/>
        </w:rPr>
      </w:pPr>
      <w:r w:rsidRPr="00FB5411">
        <w:rPr>
          <w:rFonts w:asciiTheme="majorHAnsi" w:hAnsiTheme="majorHAnsi" w:cs="Arial"/>
          <w:lang w:val="en-US"/>
        </w:rPr>
        <w:t>The sharp increase in EU investors’ use of ISDS is even more noticeable in th</w:t>
      </w:r>
      <w:r w:rsidR="00791A3C" w:rsidRPr="00FB5411">
        <w:rPr>
          <w:rFonts w:asciiTheme="majorHAnsi" w:hAnsiTheme="majorHAnsi" w:cs="Arial"/>
          <w:lang w:val="en-US"/>
        </w:rPr>
        <w:t>e figures for recent claims</w:t>
      </w:r>
      <w:r w:rsidRPr="00FB5411">
        <w:rPr>
          <w:rFonts w:asciiTheme="majorHAnsi" w:hAnsiTheme="majorHAnsi" w:cs="Arial"/>
          <w:lang w:val="en-US"/>
        </w:rPr>
        <w:t xml:space="preserve">. Of the </w:t>
      </w:r>
      <w:r w:rsidR="00791A3C" w:rsidRPr="00FB5411">
        <w:rPr>
          <w:rFonts w:asciiTheme="majorHAnsi" w:hAnsiTheme="majorHAnsi" w:cs="Arial"/>
          <w:lang w:val="en-US"/>
        </w:rPr>
        <w:t xml:space="preserve">52 </w:t>
      </w:r>
      <w:r w:rsidRPr="00FB5411">
        <w:rPr>
          <w:rFonts w:asciiTheme="majorHAnsi" w:hAnsiTheme="majorHAnsi" w:cs="Arial"/>
          <w:lang w:val="en-US"/>
        </w:rPr>
        <w:t>cases ini</w:t>
      </w:r>
      <w:r w:rsidR="00791A3C" w:rsidRPr="00FB5411">
        <w:rPr>
          <w:rFonts w:asciiTheme="majorHAnsi" w:hAnsiTheme="majorHAnsi" w:cs="Arial"/>
          <w:lang w:val="en-US"/>
        </w:rPr>
        <w:t>tiated in 2012</w:t>
      </w:r>
      <w:r w:rsidRPr="00FB5411">
        <w:rPr>
          <w:rFonts w:asciiTheme="majorHAnsi" w:hAnsiTheme="majorHAnsi" w:cs="Arial"/>
          <w:lang w:val="en-US"/>
        </w:rPr>
        <w:t>, EU investors we</w:t>
      </w:r>
      <w:r w:rsidR="00791A3C" w:rsidRPr="00FB5411">
        <w:rPr>
          <w:rFonts w:asciiTheme="majorHAnsi" w:hAnsiTheme="majorHAnsi" w:cs="Arial"/>
          <w:lang w:val="en-US"/>
        </w:rPr>
        <w:t>re behind 60 % of all claim</w:t>
      </w:r>
      <w:r w:rsidRPr="00FB5411">
        <w:rPr>
          <w:rFonts w:asciiTheme="majorHAnsi" w:hAnsiTheme="majorHAnsi" w:cs="Arial"/>
          <w:lang w:val="en-US"/>
        </w:rPr>
        <w:t>s, while US investors accounted only for 7.7%.</w:t>
      </w:r>
    </w:p>
    <w:p w:rsidR="00BD2296" w:rsidRDefault="00BD2296" w:rsidP="001931CC">
      <w:pPr>
        <w:tabs>
          <w:tab w:val="left" w:pos="8520"/>
        </w:tabs>
        <w:spacing w:after="60" w:line="312" w:lineRule="auto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A47109" w:rsidRPr="001931CC" w:rsidRDefault="00BD2296" w:rsidP="001931CC">
      <w:pPr>
        <w:tabs>
          <w:tab w:val="left" w:pos="8520"/>
        </w:tabs>
        <w:spacing w:after="60" w:line="312" w:lineRule="auto"/>
        <w:rPr>
          <w:rFonts w:asciiTheme="majorHAnsi" w:hAnsiTheme="majorHAnsi" w:cs="Arial"/>
          <w:b/>
          <w:sz w:val="24"/>
          <w:szCs w:val="24"/>
          <w:lang w:val="en-US"/>
        </w:rPr>
      </w:pPr>
      <w:r>
        <w:rPr>
          <w:rFonts w:asciiTheme="majorHAnsi" w:hAnsiTheme="majorHAnsi" w:cs="Arial"/>
          <w:b/>
          <w:sz w:val="24"/>
          <w:szCs w:val="24"/>
          <w:lang w:val="en-US"/>
        </w:rPr>
        <w:t>MYTH 7</w:t>
      </w:r>
      <w:r w:rsidR="00671E91">
        <w:rPr>
          <w:rFonts w:asciiTheme="majorHAnsi" w:hAnsiTheme="majorHAnsi" w:cs="Arial"/>
          <w:b/>
          <w:sz w:val="24"/>
          <w:szCs w:val="24"/>
          <w:lang w:val="en-US"/>
        </w:rPr>
        <w:t xml:space="preserve">: </w:t>
      </w:r>
      <w:r w:rsidR="00A47109" w:rsidRPr="001931CC">
        <w:rPr>
          <w:rFonts w:asciiTheme="majorHAnsi" w:hAnsiTheme="majorHAnsi" w:cs="Arial"/>
          <w:b/>
          <w:sz w:val="24"/>
          <w:szCs w:val="24"/>
          <w:lang w:val="en-US"/>
        </w:rPr>
        <w:t>ISDS is only necessary in trade agreements with developing countries</w:t>
      </w:r>
      <w:r w:rsidR="00671E91">
        <w:rPr>
          <w:rFonts w:asciiTheme="majorHAnsi" w:hAnsiTheme="majorHAnsi" w:cs="Arial"/>
          <w:b/>
          <w:sz w:val="24"/>
          <w:szCs w:val="24"/>
          <w:lang w:val="en-US"/>
        </w:rPr>
        <w:t>.</w:t>
      </w:r>
    </w:p>
    <w:p w:rsidR="006A6993" w:rsidRPr="009B3753" w:rsidRDefault="00A47109" w:rsidP="001931CC">
      <w:pPr>
        <w:tabs>
          <w:tab w:val="left" w:pos="8520"/>
        </w:tabs>
        <w:spacing w:after="0" w:line="312" w:lineRule="auto"/>
        <w:rPr>
          <w:rFonts w:asciiTheme="majorHAnsi" w:hAnsiTheme="majorHAnsi"/>
        </w:rPr>
      </w:pPr>
      <w:r w:rsidRPr="00FB5411">
        <w:rPr>
          <w:rFonts w:asciiTheme="majorHAnsi" w:hAnsiTheme="majorHAnsi"/>
        </w:rPr>
        <w:t xml:space="preserve">As </w:t>
      </w:r>
      <w:r w:rsidR="00791A3C" w:rsidRPr="00FB5411">
        <w:rPr>
          <w:rFonts w:asciiTheme="majorHAnsi" w:hAnsiTheme="majorHAnsi"/>
        </w:rPr>
        <w:t>has been noted by a recent</w:t>
      </w:r>
      <w:r w:rsidRPr="00FB5411">
        <w:rPr>
          <w:rFonts w:asciiTheme="majorHAnsi" w:hAnsiTheme="majorHAnsi"/>
        </w:rPr>
        <w:t xml:space="preserve"> European Commission</w:t>
      </w:r>
      <w:r w:rsidR="00C23EF3" w:rsidRPr="00FB5411">
        <w:rPr>
          <w:rFonts w:asciiTheme="majorHAnsi" w:hAnsiTheme="majorHAnsi"/>
        </w:rPr>
        <w:t xml:space="preserve"> study</w:t>
      </w:r>
      <w:r w:rsidR="009B3753">
        <w:rPr>
          <w:rFonts w:asciiTheme="majorHAnsi" w:hAnsiTheme="majorHAnsi"/>
        </w:rPr>
        <w:t>,</w:t>
      </w:r>
      <w:r w:rsidR="00791A3C" w:rsidRPr="00FB5411">
        <w:rPr>
          <w:rFonts w:asciiTheme="majorHAnsi" w:hAnsiTheme="majorHAnsi"/>
        </w:rPr>
        <w:t xml:space="preserve"> </w:t>
      </w:r>
      <w:r w:rsidR="00DE770A" w:rsidRPr="00FB5411">
        <w:rPr>
          <w:rFonts w:asciiTheme="majorHAnsi" w:hAnsiTheme="majorHAnsi"/>
        </w:rPr>
        <w:t xml:space="preserve">the </w:t>
      </w:r>
      <w:r w:rsidRPr="00FB5411">
        <w:rPr>
          <w:rFonts w:asciiTheme="majorHAnsi" w:hAnsiTheme="majorHAnsi"/>
        </w:rPr>
        <w:t>problem</w:t>
      </w:r>
      <w:r w:rsidR="00DE770A" w:rsidRPr="00FB5411">
        <w:rPr>
          <w:rFonts w:asciiTheme="majorHAnsi" w:hAnsiTheme="majorHAnsi"/>
        </w:rPr>
        <w:t>s investors face</w:t>
      </w:r>
      <w:r w:rsidR="00791A3C" w:rsidRPr="00FB5411">
        <w:rPr>
          <w:rFonts w:asciiTheme="majorHAnsi" w:hAnsiTheme="majorHAnsi"/>
        </w:rPr>
        <w:t xml:space="preserve"> which may lead them to invoke an investment agreement—</w:t>
      </w:r>
      <w:r w:rsidR="000104C7" w:rsidRPr="00FB5411">
        <w:rPr>
          <w:rFonts w:asciiTheme="majorHAnsi" w:hAnsiTheme="majorHAnsi"/>
        </w:rPr>
        <w:t>including issues around the lack of due</w:t>
      </w:r>
      <w:r w:rsidR="00791A3C" w:rsidRPr="00FB5411">
        <w:rPr>
          <w:rFonts w:asciiTheme="majorHAnsi" w:hAnsiTheme="majorHAnsi"/>
        </w:rPr>
        <w:t xml:space="preserve"> process in local court systems—</w:t>
      </w:r>
      <w:r w:rsidR="00DE770A" w:rsidRPr="00FB5411">
        <w:rPr>
          <w:rFonts w:asciiTheme="majorHAnsi" w:hAnsiTheme="majorHAnsi"/>
        </w:rPr>
        <w:t>have</w:t>
      </w:r>
      <w:r w:rsidRPr="00FB5411">
        <w:rPr>
          <w:rFonts w:asciiTheme="majorHAnsi" w:hAnsiTheme="majorHAnsi"/>
        </w:rPr>
        <w:t xml:space="preserve"> not been confined to emerging markets, bu</w:t>
      </w:r>
      <w:r w:rsidR="00791A3C" w:rsidRPr="00FB5411">
        <w:rPr>
          <w:rFonts w:asciiTheme="majorHAnsi" w:hAnsiTheme="majorHAnsi"/>
        </w:rPr>
        <w:t xml:space="preserve">t also </w:t>
      </w:r>
      <w:r w:rsidRPr="00FB5411">
        <w:rPr>
          <w:rFonts w:asciiTheme="majorHAnsi" w:hAnsiTheme="majorHAnsi"/>
        </w:rPr>
        <w:t xml:space="preserve">developed countries where the rule of law is generally observed and legal systems are robust.  </w:t>
      </w:r>
    </w:p>
    <w:p w:rsidR="00F2385F" w:rsidRPr="001931CC" w:rsidRDefault="00F2385F" w:rsidP="001931CC">
      <w:pPr>
        <w:tabs>
          <w:tab w:val="left" w:pos="8520"/>
        </w:tabs>
        <w:spacing w:after="0" w:line="312" w:lineRule="auto"/>
        <w:rPr>
          <w:rFonts w:asciiTheme="majorHAnsi" w:hAnsiTheme="majorHAnsi" w:cs="Arial"/>
          <w:sz w:val="24"/>
          <w:szCs w:val="24"/>
        </w:rPr>
      </w:pPr>
    </w:p>
    <w:sectPr w:rsidR="00F2385F" w:rsidRPr="001931CC" w:rsidSect="007E343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70" w:rsidRDefault="004E5770" w:rsidP="00611B63">
      <w:pPr>
        <w:spacing w:after="0" w:line="240" w:lineRule="auto"/>
      </w:pPr>
      <w:r>
        <w:separator/>
      </w:r>
    </w:p>
  </w:endnote>
  <w:endnote w:type="continuationSeparator" w:id="0">
    <w:p w:rsidR="004E5770" w:rsidRDefault="004E5770" w:rsidP="0061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70" w:rsidRDefault="004E5770" w:rsidP="00611B63">
      <w:pPr>
        <w:spacing w:after="0" w:line="240" w:lineRule="auto"/>
      </w:pPr>
      <w:r>
        <w:separator/>
      </w:r>
    </w:p>
  </w:footnote>
  <w:footnote w:type="continuationSeparator" w:id="0">
    <w:p w:rsidR="004E5770" w:rsidRDefault="004E5770" w:rsidP="0061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3C" w:rsidRPr="00611B63" w:rsidRDefault="00791A3C" w:rsidP="00CB784D">
    <w:pPr>
      <w:pStyle w:val="Header"/>
      <w:jc w:val="right"/>
      <w:rPr>
        <w:rFonts w:asciiTheme="majorHAnsi" w:hAnsiTheme="majorHAnsi"/>
      </w:rPr>
    </w:pPr>
    <w:r w:rsidRPr="00611B63">
      <w:rPr>
        <w:rFonts w:asciiTheme="majorHAnsi" w:hAnsiTheme="majorHAnsi"/>
      </w:rPr>
      <w:t>ICC UK paper</w:t>
    </w:r>
    <w:r>
      <w:rPr>
        <w:rFonts w:asciiTheme="majorHAnsi" w:hAnsiTheme="majorHAnsi"/>
      </w:rPr>
      <w:t xml:space="preserve"> on investment protection/ ISDS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CFB"/>
    <w:multiLevelType w:val="hybridMultilevel"/>
    <w:tmpl w:val="9628F73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20B26"/>
    <w:multiLevelType w:val="hybridMultilevel"/>
    <w:tmpl w:val="2BD4F3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D21CE"/>
    <w:multiLevelType w:val="hybridMultilevel"/>
    <w:tmpl w:val="191A7416"/>
    <w:lvl w:ilvl="0" w:tplc="FB58E0C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F0B53"/>
    <w:multiLevelType w:val="hybridMultilevel"/>
    <w:tmpl w:val="1E364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A09E3"/>
    <w:multiLevelType w:val="hybridMultilevel"/>
    <w:tmpl w:val="D6702050"/>
    <w:lvl w:ilvl="0" w:tplc="46827E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85F8D"/>
    <w:multiLevelType w:val="hybridMultilevel"/>
    <w:tmpl w:val="0180D6E0"/>
    <w:lvl w:ilvl="0" w:tplc="AD6A58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CA7CA5"/>
    <w:multiLevelType w:val="hybridMultilevel"/>
    <w:tmpl w:val="0576E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FE19F4"/>
    <w:multiLevelType w:val="hybridMultilevel"/>
    <w:tmpl w:val="0180D6E0"/>
    <w:lvl w:ilvl="0" w:tplc="AD6A58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63"/>
    <w:rsid w:val="000104C7"/>
    <w:rsid w:val="00065594"/>
    <w:rsid w:val="0007567B"/>
    <w:rsid w:val="000A7FD3"/>
    <w:rsid w:val="000E196F"/>
    <w:rsid w:val="00126EA7"/>
    <w:rsid w:val="00135599"/>
    <w:rsid w:val="00143821"/>
    <w:rsid w:val="00144380"/>
    <w:rsid w:val="00163A6E"/>
    <w:rsid w:val="001931CC"/>
    <w:rsid w:val="001A2A1B"/>
    <w:rsid w:val="001A7975"/>
    <w:rsid w:val="001B304B"/>
    <w:rsid w:val="00212355"/>
    <w:rsid w:val="00251704"/>
    <w:rsid w:val="0029397A"/>
    <w:rsid w:val="002A6F32"/>
    <w:rsid w:val="002E6390"/>
    <w:rsid w:val="00375394"/>
    <w:rsid w:val="00382B33"/>
    <w:rsid w:val="00386DB7"/>
    <w:rsid w:val="003D6B85"/>
    <w:rsid w:val="003E621D"/>
    <w:rsid w:val="00450CC9"/>
    <w:rsid w:val="004B0C3E"/>
    <w:rsid w:val="004B3218"/>
    <w:rsid w:val="004E5770"/>
    <w:rsid w:val="00581703"/>
    <w:rsid w:val="005979FF"/>
    <w:rsid w:val="005D0A22"/>
    <w:rsid w:val="005D1BC4"/>
    <w:rsid w:val="005E6A5D"/>
    <w:rsid w:val="00611B63"/>
    <w:rsid w:val="006175A8"/>
    <w:rsid w:val="006464A2"/>
    <w:rsid w:val="00671E91"/>
    <w:rsid w:val="006742CC"/>
    <w:rsid w:val="006A651E"/>
    <w:rsid w:val="006A6993"/>
    <w:rsid w:val="006D37B7"/>
    <w:rsid w:val="006D60B9"/>
    <w:rsid w:val="00702110"/>
    <w:rsid w:val="007109DD"/>
    <w:rsid w:val="00736065"/>
    <w:rsid w:val="00747586"/>
    <w:rsid w:val="00791A3C"/>
    <w:rsid w:val="007A392D"/>
    <w:rsid w:val="007E343F"/>
    <w:rsid w:val="0080343B"/>
    <w:rsid w:val="00833616"/>
    <w:rsid w:val="00872DD9"/>
    <w:rsid w:val="008B4780"/>
    <w:rsid w:val="008D3407"/>
    <w:rsid w:val="008D7212"/>
    <w:rsid w:val="009015F7"/>
    <w:rsid w:val="00943B94"/>
    <w:rsid w:val="00970C91"/>
    <w:rsid w:val="009B2648"/>
    <w:rsid w:val="009B3753"/>
    <w:rsid w:val="00A30DEE"/>
    <w:rsid w:val="00A47109"/>
    <w:rsid w:val="00A71D31"/>
    <w:rsid w:val="00A968B1"/>
    <w:rsid w:val="00AA57AE"/>
    <w:rsid w:val="00AA76A8"/>
    <w:rsid w:val="00AD0483"/>
    <w:rsid w:val="00B332B7"/>
    <w:rsid w:val="00BA14AD"/>
    <w:rsid w:val="00BA1B7C"/>
    <w:rsid w:val="00BD2296"/>
    <w:rsid w:val="00C23EF3"/>
    <w:rsid w:val="00C312EE"/>
    <w:rsid w:val="00C47D5B"/>
    <w:rsid w:val="00CB784D"/>
    <w:rsid w:val="00D10A67"/>
    <w:rsid w:val="00D12F6B"/>
    <w:rsid w:val="00D55386"/>
    <w:rsid w:val="00DA484F"/>
    <w:rsid w:val="00DC66A6"/>
    <w:rsid w:val="00DD28D8"/>
    <w:rsid w:val="00DD3068"/>
    <w:rsid w:val="00DE770A"/>
    <w:rsid w:val="00DF2021"/>
    <w:rsid w:val="00E35ADA"/>
    <w:rsid w:val="00E54428"/>
    <w:rsid w:val="00E83E51"/>
    <w:rsid w:val="00EB35FC"/>
    <w:rsid w:val="00ED5027"/>
    <w:rsid w:val="00EF38C8"/>
    <w:rsid w:val="00F05274"/>
    <w:rsid w:val="00F15A1B"/>
    <w:rsid w:val="00F2385F"/>
    <w:rsid w:val="00F35C0B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B63"/>
  </w:style>
  <w:style w:type="paragraph" w:styleId="Footer">
    <w:name w:val="footer"/>
    <w:basedOn w:val="Normal"/>
    <w:link w:val="FooterChar"/>
    <w:uiPriority w:val="99"/>
    <w:semiHidden/>
    <w:unhideWhenUsed/>
    <w:rsid w:val="0061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B63"/>
  </w:style>
  <w:style w:type="paragraph" w:styleId="ListParagraph">
    <w:name w:val="List Paragraph"/>
    <w:basedOn w:val="Normal"/>
    <w:uiPriority w:val="34"/>
    <w:qFormat/>
    <w:rsid w:val="00611B6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34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4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3407"/>
    <w:rPr>
      <w:vertAlign w:val="superscript"/>
    </w:rPr>
  </w:style>
  <w:style w:type="character" w:customStyle="1" w:styleId="apple-converted-space">
    <w:name w:val="apple-converted-space"/>
    <w:basedOn w:val="DefaultParagraphFont"/>
    <w:rsid w:val="00C312EE"/>
  </w:style>
  <w:style w:type="paragraph" w:styleId="BalloonText">
    <w:name w:val="Balloon Text"/>
    <w:basedOn w:val="Normal"/>
    <w:link w:val="BalloonTextChar"/>
    <w:uiPriority w:val="99"/>
    <w:semiHidden/>
    <w:unhideWhenUsed/>
    <w:rsid w:val="0006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B63"/>
  </w:style>
  <w:style w:type="paragraph" w:styleId="Footer">
    <w:name w:val="footer"/>
    <w:basedOn w:val="Normal"/>
    <w:link w:val="FooterChar"/>
    <w:uiPriority w:val="99"/>
    <w:semiHidden/>
    <w:unhideWhenUsed/>
    <w:rsid w:val="0061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B63"/>
  </w:style>
  <w:style w:type="paragraph" w:styleId="ListParagraph">
    <w:name w:val="List Paragraph"/>
    <w:basedOn w:val="Normal"/>
    <w:uiPriority w:val="34"/>
    <w:qFormat/>
    <w:rsid w:val="00611B6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34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4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3407"/>
    <w:rPr>
      <w:vertAlign w:val="superscript"/>
    </w:rPr>
  </w:style>
  <w:style w:type="character" w:customStyle="1" w:styleId="apple-converted-space">
    <w:name w:val="apple-converted-space"/>
    <w:basedOn w:val="DefaultParagraphFont"/>
    <w:rsid w:val="00C312EE"/>
  </w:style>
  <w:style w:type="paragraph" w:styleId="BalloonText">
    <w:name w:val="Balloon Text"/>
    <w:basedOn w:val="Normal"/>
    <w:link w:val="BalloonTextChar"/>
    <w:uiPriority w:val="99"/>
    <w:semiHidden/>
    <w:unhideWhenUsed/>
    <w:rsid w:val="0006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C01FC-8FCE-4FD0-82D7-8A6B2DBE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dorotheeheinze</dc:creator>
  <cp:lastModifiedBy>Kerneis Pascal  - ESF</cp:lastModifiedBy>
  <cp:revision>2</cp:revision>
  <dcterms:created xsi:type="dcterms:W3CDTF">2014-02-19T15:03:00Z</dcterms:created>
  <dcterms:modified xsi:type="dcterms:W3CDTF">2014-02-19T15:03:00Z</dcterms:modified>
</cp:coreProperties>
</file>